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E3940" w14:textId="77777777" w:rsidR="00897EC7" w:rsidRPr="00897EC7" w:rsidRDefault="00897EC7" w:rsidP="00897EC7">
      <w:pPr>
        <w:rPr>
          <w:b/>
          <w:bCs/>
        </w:rPr>
      </w:pPr>
      <w:r w:rsidRPr="00897EC7">
        <w:rPr>
          <w:b/>
          <w:bCs/>
        </w:rPr>
        <w:t>Top 5 Office Projects Under Construction in Queens</w:t>
      </w:r>
    </w:p>
    <w:p w14:paraId="25171CE0" w14:textId="77777777" w:rsidR="00897EC7" w:rsidRPr="00897EC7" w:rsidRDefault="00897EC7" w:rsidP="00897EC7">
      <w:r w:rsidRPr="00897EC7">
        <w:t>Queens continues to expand its core areas, with 962,000 square feet of office space underway as of August, according to Yardi Matrix data.</w:t>
      </w:r>
    </w:p>
    <w:p w14:paraId="02BB81F0" w14:textId="77777777" w:rsidR="00897EC7" w:rsidRPr="00897EC7" w:rsidRDefault="00897EC7" w:rsidP="00897EC7">
      <w:r w:rsidRPr="00897EC7">
        <w:t>SEP042020</w:t>
      </w:r>
    </w:p>
    <w:p w14:paraId="08AD691D" w14:textId="6DFEA4C7" w:rsidR="00897EC7" w:rsidRPr="00897EC7" w:rsidRDefault="00897EC7" w:rsidP="00557F29">
      <w:r w:rsidRPr="00897EC7">
        <w:t>B</w:t>
      </w:r>
      <w:r w:rsidR="00557F29">
        <w:t>y Corina Stef</w:t>
      </w:r>
    </w:p>
    <w:p w14:paraId="0BC8F44D" w14:textId="77777777" w:rsidR="00557F29" w:rsidRDefault="00557F29" w:rsidP="00897EC7"/>
    <w:p w14:paraId="78F74EAA" w14:textId="3750F3F5" w:rsidR="00897EC7" w:rsidRDefault="00897EC7" w:rsidP="00897EC7">
      <w:r w:rsidRPr="00897EC7">
        <w:t>The predominantly industrial Queens emerged as a top market for </w:t>
      </w:r>
      <w:hyperlink r:id="rId5" w:history="1">
        <w:r w:rsidRPr="00897EC7">
          <w:rPr>
            <w:rStyle w:val="Hyperlink"/>
            <w:b/>
            <w:bCs/>
          </w:rPr>
          <w:t>office construction activity in 2019</w:t>
        </w:r>
      </w:hyperlink>
      <w:r w:rsidRPr="00897EC7">
        <w:t> and has been slowly, yet boldly, changing its architectural blueprint. Although the coronavirus-induced halt on nonessential services </w:t>
      </w:r>
      <w:hyperlink r:id="rId6" w:history="1">
        <w:r w:rsidRPr="00897EC7">
          <w:rPr>
            <w:rStyle w:val="Hyperlink"/>
            <w:b/>
            <w:bCs/>
          </w:rPr>
          <w:t>temporarily stalled construction activity</w:t>
        </w:r>
      </w:hyperlink>
      <w:r w:rsidRPr="00897EC7">
        <w:t xml:space="preserve">, developers still managed to complete some 1.5 million square feet of office space year-to-date through August, according to Yardi Matrix data. This includes Tishman Speyer’s 1.2 million-square-foot The </w:t>
      </w:r>
      <w:proofErr w:type="spellStart"/>
      <w:r w:rsidRPr="00897EC7">
        <w:t>Jacx</w:t>
      </w:r>
      <w:proofErr w:type="spellEnd"/>
      <w:r w:rsidRPr="00897EC7">
        <w:t>, the second-largest office project in the market.</w:t>
      </w:r>
    </w:p>
    <w:p w14:paraId="37ABCA82" w14:textId="77777777" w:rsidR="00557F29" w:rsidRPr="00897EC7" w:rsidRDefault="00557F29" w:rsidP="00897EC7"/>
    <w:p w14:paraId="4291C6D2" w14:textId="77777777" w:rsidR="00897EC7" w:rsidRPr="00897EC7" w:rsidRDefault="00897EC7" w:rsidP="00897EC7">
      <w:r w:rsidRPr="00897EC7">
        <w:t>Two properties encompassing 90,000 square feet broke ground in 2020, and close to 962,000 square feet across seven properties were underway as of August. Most projects are redevelopments and expansions of former warehouses, a trend that neighboring Brooklyn has been experiencing as well. The lower-density Long Island City submarket led development activity due to its proximity to Manhattan. The list below highlights the top office projects underway in the market as of August, based on Yardi Matrix data.</w:t>
      </w:r>
    </w:p>
    <w:p w14:paraId="6D8531E4" w14:textId="77777777" w:rsidR="00897EC7" w:rsidRPr="00897EC7" w:rsidRDefault="00897EC7" w:rsidP="00897EC7">
      <w:pPr>
        <w:rPr>
          <w:b/>
          <w:bCs/>
        </w:rPr>
      </w:pPr>
      <w:r w:rsidRPr="00897EC7">
        <w:rPr>
          <w:b/>
          <w:bCs/>
        </w:rPr>
        <w:t>5. KAUFMAN ASTORIA STUDIOS OFFICE</w:t>
      </w:r>
    </w:p>
    <w:p w14:paraId="60DBA8F5" w14:textId="77777777" w:rsidR="00557F29" w:rsidRDefault="00897EC7" w:rsidP="00897EC7">
      <w:r w:rsidRPr="00897EC7">
        <w:fldChar w:fldCharType="begin"/>
      </w:r>
      <w:r w:rsidRPr="00897EC7">
        <w:instrText xml:space="preserve"> INCLUDEPICTURE "https://media.atre.yardi.com/2/126338/images/005.jpg?w=300&amp;h=233" \* MERGEFORMATINET </w:instrText>
      </w:r>
      <w:r w:rsidRPr="00897EC7">
        <w:fldChar w:fldCharType="separate"/>
      </w:r>
      <w:r w:rsidRPr="00897EC7">
        <w:drawing>
          <wp:inline distT="0" distB="0" distL="0" distR="0" wp14:anchorId="1772E8D2" wp14:editId="2DB0BC12">
            <wp:extent cx="3810000" cy="2963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963545"/>
                    </a:xfrm>
                    <a:prstGeom prst="rect">
                      <a:avLst/>
                    </a:prstGeom>
                    <a:noFill/>
                    <a:ln>
                      <a:noFill/>
                    </a:ln>
                  </pic:spPr>
                </pic:pic>
              </a:graphicData>
            </a:graphic>
          </wp:inline>
        </w:drawing>
      </w:r>
      <w:r w:rsidRPr="00897EC7">
        <w:fldChar w:fldCharType="end"/>
      </w:r>
    </w:p>
    <w:p w14:paraId="29D7DC3C" w14:textId="1C5AC246" w:rsidR="00897EC7" w:rsidRDefault="00897EC7" w:rsidP="00897EC7">
      <w:pPr>
        <w:rPr>
          <w:i/>
          <w:iCs/>
        </w:rPr>
      </w:pPr>
      <w:r w:rsidRPr="00897EC7">
        <w:t>Kaufman Astoria Studios Office. </w:t>
      </w:r>
      <w:r w:rsidRPr="00897EC7">
        <w:rPr>
          <w:i/>
          <w:iCs/>
        </w:rPr>
        <w:t>Rendering courtesy of Gluck+ Architecture</w:t>
      </w:r>
    </w:p>
    <w:p w14:paraId="5A7D84C1" w14:textId="77777777" w:rsidR="00557F29" w:rsidRPr="00897EC7" w:rsidRDefault="00557F29" w:rsidP="00897EC7"/>
    <w:p w14:paraId="5928AC8F" w14:textId="5484A229" w:rsidR="00897EC7" w:rsidRDefault="00897EC7" w:rsidP="00897EC7">
      <w:r w:rsidRPr="00897EC7">
        <w:lastRenderedPageBreak/>
        <w:t>Kaufman Astoria Studios is developing a four-story project in Queens’ Astoria submarket, at 34-12 36th St. Upon completion, scheduled for later in 2020, the property will total 97,000 square feet, including 65,000 square feet of office space, two film production studios and a 32,000-square-foot lunchroom. Signature Bank funded the construction with two loans totaling $40 million. Gluck+ Architecture handles the design services.</w:t>
      </w:r>
    </w:p>
    <w:p w14:paraId="7F4DDCED" w14:textId="77777777" w:rsidR="00557F29" w:rsidRPr="00897EC7" w:rsidRDefault="00557F29" w:rsidP="00897EC7"/>
    <w:p w14:paraId="0870BDB9" w14:textId="69216EB9" w:rsidR="00897EC7" w:rsidRDefault="00897EC7" w:rsidP="00897EC7">
      <w:r w:rsidRPr="00897EC7">
        <w:t>The property is taking shape on the site of a former gas station and auto repair shop. It is the latest addition to the 500,000-square-foot Kaufman Astoria Studios campus, the first studio in the five boroughs to feature a backlot for filming. The campus was originally built in 1920 as the home for Paramount Pictures.</w:t>
      </w:r>
    </w:p>
    <w:p w14:paraId="42A1AE83" w14:textId="77777777" w:rsidR="00557F29" w:rsidRPr="00897EC7" w:rsidRDefault="00557F29" w:rsidP="00897EC7"/>
    <w:p w14:paraId="682B1887" w14:textId="77777777" w:rsidR="00897EC7" w:rsidRPr="00897EC7" w:rsidRDefault="00897EC7" w:rsidP="00897EC7">
      <w:pPr>
        <w:rPr>
          <w:b/>
          <w:bCs/>
        </w:rPr>
      </w:pPr>
      <w:r w:rsidRPr="00897EC7">
        <w:rPr>
          <w:b/>
          <w:bCs/>
        </w:rPr>
        <w:t>4. QUEENS HEALTH CENTER</w:t>
      </w:r>
    </w:p>
    <w:p w14:paraId="5858E755" w14:textId="4C56EE38" w:rsidR="00897EC7" w:rsidRDefault="00897EC7" w:rsidP="00897EC7">
      <w:r w:rsidRPr="00897EC7">
        <w:t>The New York Hotel and Motel Trades Council broke ground on the new, 90,000-square-foot Queens Health Center in January 2020. Located at 43-06 38th St., just south of Sunnyside Yard, the facility is adjacent to the current Queens Health Center at 37-11 Queens Blvd. and is expected to be completed in the first quarter of 2021. The three-story, $75 million medical office building will provide free medical, dental and optical care to more than 40,000 members of the New York hotel workers union as well as their families and retirees. Once complete, the developer plans to sell the facility to cover development costs.</w:t>
      </w:r>
    </w:p>
    <w:p w14:paraId="3DFDA9FE" w14:textId="1853D8A9" w:rsidR="00557F29" w:rsidRDefault="00557F29" w:rsidP="00897EC7"/>
    <w:p w14:paraId="63AB9233" w14:textId="77777777" w:rsidR="00557F29" w:rsidRPr="00897EC7" w:rsidRDefault="00557F29" w:rsidP="00897EC7"/>
    <w:p w14:paraId="4651D4A1" w14:textId="476F5256" w:rsidR="00557F29" w:rsidRPr="00897EC7" w:rsidRDefault="00897EC7" w:rsidP="00897EC7">
      <w:pPr>
        <w:rPr>
          <w:b/>
          <w:bCs/>
        </w:rPr>
      </w:pPr>
      <w:r w:rsidRPr="00897EC7">
        <w:rPr>
          <w:b/>
          <w:bCs/>
        </w:rPr>
        <w:t>3. 43TEN</w:t>
      </w:r>
    </w:p>
    <w:p w14:paraId="50BDB19E" w14:textId="77777777" w:rsidR="00557F29" w:rsidRDefault="00897EC7" w:rsidP="00897EC7">
      <w:r w:rsidRPr="00897EC7">
        <w:fldChar w:fldCharType="begin"/>
      </w:r>
      <w:r w:rsidRPr="00897EC7">
        <w:instrText xml:space="preserve"> INCLUDEPICTURE "https://media.atre.yardi.com/2/126338/images/003-2.jpg?w=300&amp;h=233" \* MERGEFORMATINET </w:instrText>
      </w:r>
      <w:r w:rsidRPr="00897EC7">
        <w:fldChar w:fldCharType="separate"/>
      </w:r>
      <w:r w:rsidRPr="00897EC7">
        <w:drawing>
          <wp:inline distT="0" distB="0" distL="0" distR="0" wp14:anchorId="2E5A8F6A" wp14:editId="04F4888E">
            <wp:extent cx="3810000" cy="2963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963545"/>
                    </a:xfrm>
                    <a:prstGeom prst="rect">
                      <a:avLst/>
                    </a:prstGeom>
                    <a:noFill/>
                    <a:ln>
                      <a:noFill/>
                    </a:ln>
                  </pic:spPr>
                </pic:pic>
              </a:graphicData>
            </a:graphic>
          </wp:inline>
        </w:drawing>
      </w:r>
      <w:r w:rsidRPr="00897EC7">
        <w:fldChar w:fldCharType="end"/>
      </w:r>
    </w:p>
    <w:p w14:paraId="188647BA" w14:textId="4AF26947" w:rsidR="00897EC7" w:rsidRDefault="00897EC7" w:rsidP="00897EC7">
      <w:pPr>
        <w:rPr>
          <w:i/>
          <w:iCs/>
        </w:rPr>
      </w:pPr>
      <w:r w:rsidRPr="00897EC7">
        <w:t>43TEN. </w:t>
      </w:r>
      <w:r w:rsidRPr="00897EC7">
        <w:rPr>
          <w:i/>
          <w:iCs/>
        </w:rPr>
        <w:t>Rendering courtesy of Columbia Property Trust</w:t>
      </w:r>
    </w:p>
    <w:p w14:paraId="3718DCF1" w14:textId="77777777" w:rsidR="00557F29" w:rsidRPr="00897EC7" w:rsidRDefault="00557F29" w:rsidP="00897EC7"/>
    <w:p w14:paraId="727A6397" w14:textId="4FE0E7E3" w:rsidR="00897EC7" w:rsidRDefault="00897EC7" w:rsidP="00897EC7">
      <w:r w:rsidRPr="00897EC7">
        <w:t>Normandy Real Estate Partners started work on 43TEN in September 2018. Last October, the company was </w:t>
      </w:r>
      <w:hyperlink r:id="rId9" w:history="1">
        <w:r w:rsidRPr="00897EC7">
          <w:rPr>
            <w:rStyle w:val="Hyperlink"/>
            <w:b/>
            <w:bCs/>
          </w:rPr>
          <w:t>acquired by Columbia Property Trust</w:t>
        </w:r>
      </w:hyperlink>
      <w:r w:rsidRPr="00897EC7">
        <w:t>, which assumed management of all its assets, including the 203,184-square-foot upcoming creative office building. Completion of the seven-story property is scheduled for the first quarter of 2021.</w:t>
      </w:r>
    </w:p>
    <w:p w14:paraId="022CBD3F" w14:textId="77777777" w:rsidR="00557F29" w:rsidRPr="00897EC7" w:rsidRDefault="00557F29" w:rsidP="00897EC7"/>
    <w:p w14:paraId="5C4B7A76" w14:textId="0964BBD5" w:rsidR="00897EC7" w:rsidRDefault="00897EC7" w:rsidP="00897EC7">
      <w:proofErr w:type="spellStart"/>
      <w:r w:rsidRPr="00897EC7">
        <w:t>AllianceBernstein</w:t>
      </w:r>
      <w:proofErr w:type="spellEnd"/>
      <w:r w:rsidRPr="00897EC7">
        <w:t xml:space="preserve"> originated a $66.1 million construction loan on behalf of the developer. Formerly a manufacturing site, the Mancini Duffy-designed asset is located at 43-10 23rd St. in Long Island City. It is one train stop away from midtown Manhattan and 15 minutes away by car or bike.</w:t>
      </w:r>
    </w:p>
    <w:p w14:paraId="788698B8" w14:textId="77777777" w:rsidR="00557F29" w:rsidRPr="00897EC7" w:rsidRDefault="00557F29" w:rsidP="00897EC7"/>
    <w:p w14:paraId="56A5DC34" w14:textId="77777777" w:rsidR="00897EC7" w:rsidRPr="00897EC7" w:rsidRDefault="00897EC7" w:rsidP="00897EC7">
      <w:pPr>
        <w:rPr>
          <w:b/>
          <w:bCs/>
        </w:rPr>
      </w:pPr>
      <w:r w:rsidRPr="00897EC7">
        <w:rPr>
          <w:b/>
          <w:bCs/>
        </w:rPr>
        <w:t>2. GANTRY POINT</w:t>
      </w:r>
    </w:p>
    <w:p w14:paraId="33FDA0D7" w14:textId="5E9DC078" w:rsidR="00897EC7" w:rsidRDefault="00897EC7" w:rsidP="00897EC7">
      <w:pPr>
        <w:rPr>
          <w:i/>
          <w:iCs/>
        </w:rPr>
      </w:pPr>
      <w:r w:rsidRPr="00897EC7">
        <w:fldChar w:fldCharType="begin"/>
      </w:r>
      <w:r w:rsidRPr="00897EC7">
        <w:instrText xml:space="preserve"> INCLUDEPICTURE "https://media.atre.yardi.com/2/126338/images/002.jpg?w=300&amp;h=232" \* MERGEFORMATINET </w:instrText>
      </w:r>
      <w:r w:rsidRPr="00897EC7">
        <w:fldChar w:fldCharType="separate"/>
      </w:r>
      <w:r w:rsidRPr="00897EC7">
        <w:drawing>
          <wp:inline distT="0" distB="0" distL="0" distR="0" wp14:anchorId="633CA827" wp14:editId="48769863">
            <wp:extent cx="3810000" cy="294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946400"/>
                    </a:xfrm>
                    <a:prstGeom prst="rect">
                      <a:avLst/>
                    </a:prstGeom>
                    <a:noFill/>
                    <a:ln>
                      <a:noFill/>
                    </a:ln>
                  </pic:spPr>
                </pic:pic>
              </a:graphicData>
            </a:graphic>
          </wp:inline>
        </w:drawing>
      </w:r>
      <w:r w:rsidRPr="00897EC7">
        <w:fldChar w:fldCharType="end"/>
      </w:r>
      <w:r w:rsidRPr="00897EC7">
        <w:t>Gantry Point. </w:t>
      </w:r>
      <w:r w:rsidRPr="00897EC7">
        <w:rPr>
          <w:i/>
          <w:iCs/>
        </w:rPr>
        <w:t>Rendering courtesy of Columbia Property Trust</w:t>
      </w:r>
    </w:p>
    <w:p w14:paraId="64EDB367" w14:textId="77777777" w:rsidR="00557F29" w:rsidRPr="00897EC7" w:rsidRDefault="00557F29" w:rsidP="00897EC7"/>
    <w:p w14:paraId="24102BCD" w14:textId="0E086145" w:rsidR="00897EC7" w:rsidRDefault="00897EC7" w:rsidP="00897EC7">
      <w:r w:rsidRPr="00897EC7">
        <w:t>The 237,718-square-foot Gantry Point is another creative office building originally developed by Normandy Real Estate Partners and subsequently transferred to Columbia Property Trust’s managed portfolio. Construction on the nine-story property started in February 2018, with completion scheduled for the end of 2020. Deutsche Bank provided $95 million in construction financing.</w:t>
      </w:r>
    </w:p>
    <w:p w14:paraId="7288484A" w14:textId="77777777" w:rsidR="00557F29" w:rsidRPr="00897EC7" w:rsidRDefault="00557F29" w:rsidP="00897EC7"/>
    <w:p w14:paraId="5695C6A4" w14:textId="65ED9B50" w:rsidR="00557F29" w:rsidRPr="00897EC7" w:rsidRDefault="00897EC7" w:rsidP="00897EC7">
      <w:r w:rsidRPr="00897EC7">
        <w:t>Gantry Point represents the redevelopment and expansion of an 87,000-square-foot warehouse. The asset is situated on 2 acres at 25-11 49th Ave., in Long Island City’s Hunters Point submarket, and is centrally located in a soon-to-be creative office hub influenced by the area’s industrial past.</w:t>
      </w:r>
    </w:p>
    <w:p w14:paraId="466B82D9" w14:textId="77777777" w:rsidR="00897EC7" w:rsidRPr="00897EC7" w:rsidRDefault="00897EC7" w:rsidP="00897EC7">
      <w:pPr>
        <w:rPr>
          <w:b/>
          <w:bCs/>
        </w:rPr>
      </w:pPr>
      <w:r w:rsidRPr="00897EC7">
        <w:rPr>
          <w:b/>
          <w:bCs/>
        </w:rPr>
        <w:lastRenderedPageBreak/>
        <w:t>1. INNOLABS</w:t>
      </w:r>
    </w:p>
    <w:p w14:paraId="3F74ACDC" w14:textId="77777777" w:rsidR="00557F29" w:rsidRDefault="00897EC7" w:rsidP="00897EC7">
      <w:r w:rsidRPr="00897EC7">
        <w:fldChar w:fldCharType="begin"/>
      </w:r>
      <w:r w:rsidRPr="00897EC7">
        <w:instrText xml:space="preserve"> INCLUDEPICTURE "https://media.atre.yardi.com/2/126338/images/001.jpg?w=300&amp;h=233" \* MERGEFORMATINET </w:instrText>
      </w:r>
      <w:r w:rsidRPr="00897EC7">
        <w:fldChar w:fldCharType="separate"/>
      </w:r>
      <w:r w:rsidRPr="00897EC7">
        <w:drawing>
          <wp:inline distT="0" distB="0" distL="0" distR="0" wp14:anchorId="290BC76C" wp14:editId="6FD48FC5">
            <wp:extent cx="3810000" cy="2963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963545"/>
                    </a:xfrm>
                    <a:prstGeom prst="rect">
                      <a:avLst/>
                    </a:prstGeom>
                    <a:noFill/>
                    <a:ln>
                      <a:noFill/>
                    </a:ln>
                  </pic:spPr>
                </pic:pic>
              </a:graphicData>
            </a:graphic>
          </wp:inline>
        </w:drawing>
      </w:r>
      <w:r w:rsidRPr="00897EC7">
        <w:fldChar w:fldCharType="end"/>
      </w:r>
    </w:p>
    <w:p w14:paraId="258794B4" w14:textId="7A184E82" w:rsidR="00897EC7" w:rsidRDefault="00897EC7" w:rsidP="00897EC7">
      <w:pPr>
        <w:rPr>
          <w:i/>
          <w:iCs/>
        </w:rPr>
      </w:pPr>
      <w:proofErr w:type="spellStart"/>
      <w:r w:rsidRPr="00897EC7">
        <w:t>InnoLabs</w:t>
      </w:r>
      <w:proofErr w:type="spellEnd"/>
      <w:r w:rsidRPr="00897EC7">
        <w:t>. </w:t>
      </w:r>
      <w:r w:rsidRPr="00897EC7">
        <w:rPr>
          <w:i/>
          <w:iCs/>
        </w:rPr>
        <w:t>Rendering courtesy of GFP Real Estate</w:t>
      </w:r>
    </w:p>
    <w:p w14:paraId="1188C239" w14:textId="77777777" w:rsidR="00557F29" w:rsidRPr="00897EC7" w:rsidRDefault="00557F29" w:rsidP="00897EC7"/>
    <w:p w14:paraId="5D607702" w14:textId="468FB4E3" w:rsidR="00897EC7" w:rsidRDefault="00897EC7" w:rsidP="00897EC7">
      <w:r w:rsidRPr="00897EC7">
        <w:t xml:space="preserve">The largest development on the list is King Street Properties and GFP Real Estate’s </w:t>
      </w:r>
      <w:proofErr w:type="spellStart"/>
      <w:r w:rsidRPr="00897EC7">
        <w:t>InnoLabs</w:t>
      </w:r>
      <w:proofErr w:type="spellEnd"/>
      <w:r w:rsidRPr="00897EC7">
        <w:t>, an upcoming 266,800-square-foot life sciences facility in Long Island City. The project kicked off in December 2019 and represents the complete renovation and expansion of the 1920-built asset. The six-story project is expected to come online in the first quarter of 2021 and was financed by a $152.1 million construction loan provided by ACORE Capital.</w:t>
      </w:r>
    </w:p>
    <w:p w14:paraId="121B3A71" w14:textId="77777777" w:rsidR="00557F29" w:rsidRPr="00897EC7" w:rsidRDefault="00557F29" w:rsidP="00897EC7"/>
    <w:p w14:paraId="58C27BB7" w14:textId="77777777" w:rsidR="00897EC7" w:rsidRPr="00897EC7" w:rsidRDefault="00897EC7" w:rsidP="00897EC7">
      <w:proofErr w:type="spellStart"/>
      <w:r w:rsidRPr="00897EC7">
        <w:t>InnoLabs</w:t>
      </w:r>
      <w:proofErr w:type="spellEnd"/>
      <w:r w:rsidRPr="00897EC7">
        <w:t xml:space="preserve"> is the New York City Economic Development Corp.’s first investment within the $500 million </w:t>
      </w:r>
      <w:proofErr w:type="spellStart"/>
      <w:r w:rsidRPr="00897EC7">
        <w:t>LifeSci</w:t>
      </w:r>
      <w:proofErr w:type="spellEnd"/>
      <w:r w:rsidRPr="00897EC7">
        <w:t xml:space="preserve"> NYC program. Situated at 45-18 Court Square, it is near many historic Kips Bay hospitals in the borough’s emerging bioscience corridor.</w:t>
      </w:r>
    </w:p>
    <w:p w14:paraId="6B87AE21" w14:textId="525F0DFC" w:rsidR="00897EC7" w:rsidRPr="00897EC7" w:rsidRDefault="00897EC7" w:rsidP="00897EC7"/>
    <w:p w14:paraId="7C39AE55" w14:textId="5C122E47" w:rsidR="00897EC7" w:rsidRPr="00897EC7" w:rsidRDefault="00897EC7" w:rsidP="00897EC7"/>
    <w:p w14:paraId="71F80131" w14:textId="77777777" w:rsidR="001B4F29" w:rsidRDefault="001B4F29"/>
    <w:sectPr w:rsidR="001B4F29" w:rsidSect="008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A226F"/>
    <w:multiLevelType w:val="multilevel"/>
    <w:tmpl w:val="8A66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F0DBD"/>
    <w:multiLevelType w:val="multilevel"/>
    <w:tmpl w:val="7CB2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F13C2"/>
    <w:multiLevelType w:val="multilevel"/>
    <w:tmpl w:val="5F94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FD625C"/>
    <w:multiLevelType w:val="multilevel"/>
    <w:tmpl w:val="5B5A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812AD2"/>
    <w:multiLevelType w:val="multilevel"/>
    <w:tmpl w:val="10F4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906E2"/>
    <w:multiLevelType w:val="multilevel"/>
    <w:tmpl w:val="680E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C7"/>
    <w:rsid w:val="000437CD"/>
    <w:rsid w:val="001B4F29"/>
    <w:rsid w:val="005116B6"/>
    <w:rsid w:val="00557F29"/>
    <w:rsid w:val="0085667B"/>
    <w:rsid w:val="00897EC7"/>
    <w:rsid w:val="008E3809"/>
    <w:rsid w:val="00EE1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7CFD"/>
  <w15:chartTrackingRefBased/>
  <w15:docId w15:val="{8B6BF48F-DC0E-E349-B506-1994694B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Next" w:eastAsiaTheme="minorHAnsi" w:hAnsi="Avenir Nex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EC7"/>
    <w:rPr>
      <w:color w:val="0563C1" w:themeColor="hyperlink"/>
      <w:u w:val="single"/>
    </w:rPr>
  </w:style>
  <w:style w:type="character" w:styleId="UnresolvedMention">
    <w:name w:val="Unresolved Mention"/>
    <w:basedOn w:val="DefaultParagraphFont"/>
    <w:uiPriority w:val="99"/>
    <w:rsid w:val="00897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467328">
      <w:bodyDiv w:val="1"/>
      <w:marLeft w:val="0"/>
      <w:marRight w:val="0"/>
      <w:marTop w:val="0"/>
      <w:marBottom w:val="0"/>
      <w:divBdr>
        <w:top w:val="none" w:sz="0" w:space="0" w:color="auto"/>
        <w:left w:val="none" w:sz="0" w:space="0" w:color="auto"/>
        <w:bottom w:val="none" w:sz="0" w:space="0" w:color="auto"/>
        <w:right w:val="none" w:sz="0" w:space="0" w:color="auto"/>
      </w:divBdr>
      <w:divsChild>
        <w:div w:id="220756069">
          <w:marLeft w:val="0"/>
          <w:marRight w:val="0"/>
          <w:marTop w:val="0"/>
          <w:marBottom w:val="0"/>
          <w:divBdr>
            <w:top w:val="none" w:sz="0" w:space="0" w:color="auto"/>
            <w:left w:val="none" w:sz="0" w:space="0" w:color="auto"/>
            <w:bottom w:val="none" w:sz="0" w:space="0" w:color="auto"/>
            <w:right w:val="none" w:sz="0" w:space="0" w:color="auto"/>
          </w:divBdr>
          <w:divsChild>
            <w:div w:id="1436753605">
              <w:marLeft w:val="-75"/>
              <w:marRight w:val="-75"/>
              <w:marTop w:val="0"/>
              <w:marBottom w:val="0"/>
              <w:divBdr>
                <w:top w:val="none" w:sz="0" w:space="0" w:color="auto"/>
                <w:left w:val="none" w:sz="0" w:space="0" w:color="auto"/>
                <w:bottom w:val="none" w:sz="0" w:space="0" w:color="auto"/>
                <w:right w:val="none" w:sz="0" w:space="0" w:color="auto"/>
              </w:divBdr>
              <w:divsChild>
                <w:div w:id="1948850550">
                  <w:marLeft w:val="0"/>
                  <w:marRight w:val="0"/>
                  <w:marTop w:val="0"/>
                  <w:marBottom w:val="0"/>
                  <w:divBdr>
                    <w:top w:val="none" w:sz="0" w:space="0" w:color="auto"/>
                    <w:left w:val="none" w:sz="0" w:space="0" w:color="auto"/>
                    <w:bottom w:val="none" w:sz="0" w:space="0" w:color="auto"/>
                    <w:right w:val="none" w:sz="0" w:space="0" w:color="auto"/>
                  </w:divBdr>
                  <w:divsChild>
                    <w:div w:id="857279026">
                      <w:marLeft w:val="-75"/>
                      <w:marRight w:val="-75"/>
                      <w:marTop w:val="0"/>
                      <w:marBottom w:val="0"/>
                      <w:divBdr>
                        <w:top w:val="none" w:sz="0" w:space="0" w:color="auto"/>
                        <w:left w:val="none" w:sz="0" w:space="0" w:color="auto"/>
                        <w:bottom w:val="none" w:sz="0" w:space="0" w:color="auto"/>
                        <w:right w:val="none" w:sz="0" w:space="0" w:color="auto"/>
                      </w:divBdr>
                      <w:divsChild>
                        <w:div w:id="1916358453">
                          <w:marLeft w:val="0"/>
                          <w:marRight w:val="0"/>
                          <w:marTop w:val="0"/>
                          <w:marBottom w:val="300"/>
                          <w:divBdr>
                            <w:top w:val="none" w:sz="0" w:space="0" w:color="auto"/>
                            <w:left w:val="none" w:sz="0" w:space="0" w:color="auto"/>
                            <w:bottom w:val="none" w:sz="0" w:space="0" w:color="auto"/>
                            <w:right w:val="none" w:sz="0" w:space="0" w:color="auto"/>
                          </w:divBdr>
                          <w:divsChild>
                            <w:div w:id="1574125580">
                              <w:marLeft w:val="-75"/>
                              <w:marRight w:val="-75"/>
                              <w:marTop w:val="0"/>
                              <w:marBottom w:val="0"/>
                              <w:divBdr>
                                <w:top w:val="none" w:sz="0" w:space="0" w:color="auto"/>
                                <w:left w:val="none" w:sz="0" w:space="0" w:color="auto"/>
                                <w:bottom w:val="none" w:sz="0" w:space="0" w:color="auto"/>
                                <w:right w:val="none" w:sz="0" w:space="0" w:color="auto"/>
                              </w:divBdr>
                              <w:divsChild>
                                <w:div w:id="443840850">
                                  <w:marLeft w:val="0"/>
                                  <w:marRight w:val="0"/>
                                  <w:marTop w:val="0"/>
                                  <w:marBottom w:val="0"/>
                                  <w:divBdr>
                                    <w:top w:val="none" w:sz="0" w:space="0" w:color="auto"/>
                                    <w:left w:val="none" w:sz="0" w:space="0" w:color="auto"/>
                                    <w:bottom w:val="none" w:sz="0" w:space="0" w:color="auto"/>
                                    <w:right w:val="none" w:sz="0" w:space="0" w:color="auto"/>
                                  </w:divBdr>
                                  <w:divsChild>
                                    <w:div w:id="297804589">
                                      <w:marLeft w:val="0"/>
                                      <w:marRight w:val="0"/>
                                      <w:marTop w:val="0"/>
                                      <w:marBottom w:val="300"/>
                                      <w:divBdr>
                                        <w:top w:val="none" w:sz="0" w:space="0" w:color="auto"/>
                                        <w:left w:val="none" w:sz="0" w:space="0" w:color="auto"/>
                                        <w:bottom w:val="none" w:sz="0" w:space="0" w:color="auto"/>
                                        <w:right w:val="none" w:sz="0" w:space="0" w:color="auto"/>
                                      </w:divBdr>
                                    </w:div>
                                  </w:divsChild>
                                </w:div>
                                <w:div w:id="2035032415">
                                  <w:marLeft w:val="0"/>
                                  <w:marRight w:val="0"/>
                                  <w:marTop w:val="0"/>
                                  <w:marBottom w:val="0"/>
                                  <w:divBdr>
                                    <w:top w:val="none" w:sz="0" w:space="0" w:color="auto"/>
                                    <w:left w:val="none" w:sz="0" w:space="0" w:color="auto"/>
                                    <w:bottom w:val="none" w:sz="0" w:space="0" w:color="auto"/>
                                    <w:right w:val="none" w:sz="0" w:space="0" w:color="auto"/>
                                  </w:divBdr>
                                </w:div>
                              </w:divsChild>
                            </w:div>
                            <w:div w:id="2109227492">
                              <w:marLeft w:val="-75"/>
                              <w:marRight w:val="-75"/>
                              <w:marTop w:val="0"/>
                              <w:marBottom w:val="0"/>
                              <w:divBdr>
                                <w:top w:val="none" w:sz="0" w:space="0" w:color="auto"/>
                                <w:left w:val="none" w:sz="0" w:space="0" w:color="auto"/>
                                <w:bottom w:val="none" w:sz="0" w:space="0" w:color="auto"/>
                                <w:right w:val="none" w:sz="0" w:space="0" w:color="auto"/>
                              </w:divBdr>
                              <w:divsChild>
                                <w:div w:id="122500785">
                                  <w:marLeft w:val="0"/>
                                  <w:marRight w:val="0"/>
                                  <w:marTop w:val="0"/>
                                  <w:marBottom w:val="0"/>
                                  <w:divBdr>
                                    <w:top w:val="none" w:sz="0" w:space="0" w:color="auto"/>
                                    <w:left w:val="none" w:sz="0" w:space="0" w:color="auto"/>
                                    <w:bottom w:val="none" w:sz="0" w:space="0" w:color="auto"/>
                                    <w:right w:val="none" w:sz="0" w:space="0" w:color="auto"/>
                                  </w:divBdr>
                                </w:div>
                                <w:div w:id="183566669">
                                  <w:marLeft w:val="0"/>
                                  <w:marRight w:val="0"/>
                                  <w:marTop w:val="0"/>
                                  <w:marBottom w:val="0"/>
                                  <w:divBdr>
                                    <w:top w:val="none" w:sz="0" w:space="0" w:color="auto"/>
                                    <w:left w:val="none" w:sz="0" w:space="0" w:color="auto"/>
                                    <w:bottom w:val="none" w:sz="0" w:space="0" w:color="auto"/>
                                    <w:right w:val="none" w:sz="0" w:space="0" w:color="auto"/>
                                  </w:divBdr>
                                  <w:divsChild>
                                    <w:div w:id="1318804323">
                                      <w:marLeft w:val="0"/>
                                      <w:marRight w:val="0"/>
                                      <w:marTop w:val="53"/>
                                      <w:marBottom w:val="0"/>
                                      <w:divBdr>
                                        <w:top w:val="none" w:sz="0" w:space="0" w:color="auto"/>
                                        <w:left w:val="none" w:sz="0" w:space="0" w:color="auto"/>
                                        <w:bottom w:val="none" w:sz="0" w:space="0" w:color="auto"/>
                                        <w:right w:val="none" w:sz="0" w:space="0" w:color="auto"/>
                                      </w:divBdr>
                                      <w:divsChild>
                                        <w:div w:id="244269406">
                                          <w:marLeft w:val="0"/>
                                          <w:marRight w:val="0"/>
                                          <w:marTop w:val="0"/>
                                          <w:marBottom w:val="0"/>
                                          <w:divBdr>
                                            <w:top w:val="none" w:sz="0" w:space="0" w:color="auto"/>
                                            <w:left w:val="none" w:sz="0" w:space="0" w:color="auto"/>
                                            <w:bottom w:val="none" w:sz="0" w:space="0" w:color="auto"/>
                                            <w:right w:val="none" w:sz="0" w:space="0" w:color="auto"/>
                                          </w:divBdr>
                                        </w:div>
                                        <w:div w:id="14363677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01491247">
                              <w:marLeft w:val="-75"/>
                              <w:marRight w:val="-75"/>
                              <w:marTop w:val="0"/>
                              <w:marBottom w:val="0"/>
                              <w:divBdr>
                                <w:top w:val="none" w:sz="0" w:space="0" w:color="auto"/>
                                <w:left w:val="none" w:sz="0" w:space="0" w:color="auto"/>
                                <w:bottom w:val="none" w:sz="0" w:space="0" w:color="auto"/>
                                <w:right w:val="none" w:sz="0" w:space="0" w:color="auto"/>
                              </w:divBdr>
                              <w:divsChild>
                                <w:div w:id="516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94816">
                      <w:marLeft w:val="-75"/>
                      <w:marRight w:val="-75"/>
                      <w:marTop w:val="0"/>
                      <w:marBottom w:val="0"/>
                      <w:divBdr>
                        <w:top w:val="none" w:sz="0" w:space="0" w:color="auto"/>
                        <w:left w:val="none" w:sz="0" w:space="0" w:color="auto"/>
                        <w:bottom w:val="none" w:sz="0" w:space="0" w:color="auto"/>
                        <w:right w:val="none" w:sz="0" w:space="0" w:color="auto"/>
                      </w:divBdr>
                      <w:divsChild>
                        <w:div w:id="2099980556">
                          <w:marLeft w:val="0"/>
                          <w:marRight w:val="0"/>
                          <w:marTop w:val="0"/>
                          <w:marBottom w:val="0"/>
                          <w:divBdr>
                            <w:top w:val="none" w:sz="0" w:space="0" w:color="auto"/>
                            <w:left w:val="none" w:sz="0" w:space="0" w:color="auto"/>
                            <w:bottom w:val="none" w:sz="0" w:space="0" w:color="auto"/>
                            <w:right w:val="none" w:sz="0" w:space="0" w:color="auto"/>
                          </w:divBdr>
                          <w:divsChild>
                            <w:div w:id="511336724">
                              <w:marLeft w:val="0"/>
                              <w:marRight w:val="0"/>
                              <w:marTop w:val="0"/>
                              <w:marBottom w:val="0"/>
                              <w:divBdr>
                                <w:top w:val="none" w:sz="0" w:space="0" w:color="auto"/>
                                <w:left w:val="none" w:sz="0" w:space="0" w:color="auto"/>
                                <w:bottom w:val="none" w:sz="0" w:space="0" w:color="auto"/>
                                <w:right w:val="none" w:sz="0" w:space="0" w:color="auto"/>
                              </w:divBdr>
                            </w:div>
                            <w:div w:id="370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46277">
                      <w:marLeft w:val="-75"/>
                      <w:marRight w:val="-75"/>
                      <w:marTop w:val="0"/>
                      <w:marBottom w:val="0"/>
                      <w:divBdr>
                        <w:top w:val="none" w:sz="0" w:space="0" w:color="auto"/>
                        <w:left w:val="none" w:sz="0" w:space="0" w:color="auto"/>
                        <w:bottom w:val="none" w:sz="0" w:space="0" w:color="auto"/>
                        <w:right w:val="none" w:sz="0" w:space="0" w:color="auto"/>
                      </w:divBdr>
                      <w:divsChild>
                        <w:div w:id="810289061">
                          <w:marLeft w:val="0"/>
                          <w:marRight w:val="0"/>
                          <w:marTop w:val="300"/>
                          <w:marBottom w:val="0"/>
                          <w:divBdr>
                            <w:top w:val="none" w:sz="0" w:space="0" w:color="auto"/>
                            <w:left w:val="none" w:sz="0" w:space="0" w:color="auto"/>
                            <w:bottom w:val="none" w:sz="0" w:space="0" w:color="auto"/>
                            <w:right w:val="none" w:sz="0" w:space="0" w:color="auto"/>
                          </w:divBdr>
                          <w:divsChild>
                            <w:div w:id="846821189">
                              <w:marLeft w:val="0"/>
                              <w:marRight w:val="0"/>
                              <w:marTop w:val="0"/>
                              <w:marBottom w:val="0"/>
                              <w:divBdr>
                                <w:top w:val="none" w:sz="0" w:space="0" w:color="auto"/>
                                <w:left w:val="none" w:sz="0" w:space="0" w:color="auto"/>
                                <w:bottom w:val="none" w:sz="0" w:space="0" w:color="auto"/>
                                <w:right w:val="none" w:sz="0" w:space="0" w:color="auto"/>
                              </w:divBdr>
                              <w:divsChild>
                                <w:div w:id="327173293">
                                  <w:marLeft w:val="-75"/>
                                  <w:marRight w:val="-75"/>
                                  <w:marTop w:val="0"/>
                                  <w:marBottom w:val="0"/>
                                  <w:divBdr>
                                    <w:top w:val="none" w:sz="0" w:space="0" w:color="auto"/>
                                    <w:left w:val="none" w:sz="0" w:space="0" w:color="auto"/>
                                    <w:bottom w:val="none" w:sz="0" w:space="0" w:color="auto"/>
                                    <w:right w:val="none" w:sz="0" w:space="0" w:color="auto"/>
                                  </w:divBdr>
                                  <w:divsChild>
                                    <w:div w:id="922295976">
                                      <w:marLeft w:val="0"/>
                                      <w:marRight w:val="0"/>
                                      <w:marTop w:val="0"/>
                                      <w:marBottom w:val="0"/>
                                      <w:divBdr>
                                        <w:top w:val="none" w:sz="0" w:space="0" w:color="auto"/>
                                        <w:left w:val="none" w:sz="0" w:space="0" w:color="auto"/>
                                        <w:bottom w:val="none" w:sz="0" w:space="0" w:color="auto"/>
                                        <w:right w:val="none" w:sz="0" w:space="0" w:color="auto"/>
                                      </w:divBdr>
                                    </w:div>
                                    <w:div w:id="862401419">
                                      <w:marLeft w:val="0"/>
                                      <w:marRight w:val="0"/>
                                      <w:marTop w:val="0"/>
                                      <w:marBottom w:val="0"/>
                                      <w:divBdr>
                                        <w:top w:val="none" w:sz="0" w:space="0" w:color="auto"/>
                                        <w:left w:val="none" w:sz="0" w:space="0" w:color="auto"/>
                                        <w:bottom w:val="none" w:sz="0" w:space="0" w:color="auto"/>
                                        <w:right w:val="none" w:sz="0" w:space="0" w:color="auto"/>
                                      </w:divBdr>
                                    </w:div>
                                    <w:div w:id="197163707">
                                      <w:marLeft w:val="0"/>
                                      <w:marRight w:val="0"/>
                                      <w:marTop w:val="0"/>
                                      <w:marBottom w:val="0"/>
                                      <w:divBdr>
                                        <w:top w:val="none" w:sz="0" w:space="0" w:color="auto"/>
                                        <w:left w:val="none" w:sz="0" w:space="0" w:color="auto"/>
                                        <w:bottom w:val="none" w:sz="0" w:space="0" w:color="auto"/>
                                        <w:right w:val="none" w:sz="0" w:space="0" w:color="auto"/>
                                      </w:divBdr>
                                    </w:div>
                                    <w:div w:id="12189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53161">
          <w:marLeft w:val="0"/>
          <w:marRight w:val="0"/>
          <w:marTop w:val="0"/>
          <w:marBottom w:val="0"/>
          <w:divBdr>
            <w:top w:val="none" w:sz="0" w:space="0" w:color="auto"/>
            <w:left w:val="none" w:sz="0" w:space="0" w:color="auto"/>
            <w:bottom w:val="none" w:sz="0" w:space="0" w:color="auto"/>
            <w:right w:val="none" w:sz="0" w:space="0" w:color="auto"/>
          </w:divBdr>
          <w:divsChild>
            <w:div w:id="919368696">
              <w:marLeft w:val="0"/>
              <w:marRight w:val="0"/>
              <w:marTop w:val="0"/>
              <w:marBottom w:val="0"/>
              <w:divBdr>
                <w:top w:val="none" w:sz="0" w:space="0" w:color="auto"/>
                <w:left w:val="none" w:sz="0" w:space="0" w:color="auto"/>
                <w:bottom w:val="none" w:sz="0" w:space="0" w:color="auto"/>
                <w:right w:val="none" w:sz="0" w:space="0" w:color="auto"/>
              </w:divBdr>
              <w:divsChild>
                <w:div w:id="2117481861">
                  <w:marLeft w:val="-75"/>
                  <w:marRight w:val="-75"/>
                  <w:marTop w:val="0"/>
                  <w:marBottom w:val="0"/>
                  <w:divBdr>
                    <w:top w:val="none" w:sz="0" w:space="0" w:color="auto"/>
                    <w:left w:val="none" w:sz="0" w:space="0" w:color="auto"/>
                    <w:bottom w:val="none" w:sz="0" w:space="0" w:color="auto"/>
                    <w:right w:val="none" w:sz="0" w:space="0" w:color="auto"/>
                  </w:divBdr>
                  <w:divsChild>
                    <w:div w:id="29838244">
                      <w:marLeft w:val="0"/>
                      <w:marRight w:val="0"/>
                      <w:marTop w:val="0"/>
                      <w:marBottom w:val="0"/>
                      <w:divBdr>
                        <w:top w:val="none" w:sz="0" w:space="0" w:color="auto"/>
                        <w:left w:val="none" w:sz="0" w:space="0" w:color="auto"/>
                        <w:bottom w:val="none" w:sz="0" w:space="0" w:color="auto"/>
                        <w:right w:val="none" w:sz="0" w:space="0" w:color="auto"/>
                      </w:divBdr>
                      <w:divsChild>
                        <w:div w:id="633029029">
                          <w:marLeft w:val="-75"/>
                          <w:marRight w:val="-75"/>
                          <w:marTop w:val="0"/>
                          <w:marBottom w:val="0"/>
                          <w:divBdr>
                            <w:top w:val="none" w:sz="0" w:space="0" w:color="auto"/>
                            <w:left w:val="none" w:sz="0" w:space="0" w:color="auto"/>
                            <w:bottom w:val="none" w:sz="0" w:space="0" w:color="auto"/>
                            <w:right w:val="none" w:sz="0" w:space="0" w:color="auto"/>
                          </w:divBdr>
                          <w:divsChild>
                            <w:div w:id="266892157">
                              <w:marLeft w:val="0"/>
                              <w:marRight w:val="0"/>
                              <w:marTop w:val="0"/>
                              <w:marBottom w:val="0"/>
                              <w:divBdr>
                                <w:top w:val="none" w:sz="0" w:space="0" w:color="auto"/>
                                <w:left w:val="none" w:sz="0" w:space="0" w:color="auto"/>
                                <w:bottom w:val="none" w:sz="0" w:space="0" w:color="auto"/>
                                <w:right w:val="none" w:sz="0" w:space="0" w:color="auto"/>
                              </w:divBdr>
                              <w:divsChild>
                                <w:div w:id="1428499519">
                                  <w:marLeft w:val="0"/>
                                  <w:marRight w:val="0"/>
                                  <w:marTop w:val="0"/>
                                  <w:marBottom w:val="150"/>
                                  <w:divBdr>
                                    <w:top w:val="none" w:sz="0" w:space="0" w:color="auto"/>
                                    <w:left w:val="none" w:sz="0" w:space="0" w:color="auto"/>
                                    <w:bottom w:val="none" w:sz="0" w:space="0" w:color="auto"/>
                                    <w:right w:val="none" w:sz="0" w:space="0" w:color="auto"/>
                                  </w:divBdr>
                                  <w:divsChild>
                                    <w:div w:id="871918922">
                                      <w:marLeft w:val="0"/>
                                      <w:marRight w:val="0"/>
                                      <w:marTop w:val="0"/>
                                      <w:marBottom w:val="0"/>
                                      <w:divBdr>
                                        <w:top w:val="none" w:sz="0" w:space="0" w:color="auto"/>
                                        <w:left w:val="none" w:sz="0" w:space="0" w:color="auto"/>
                                        <w:bottom w:val="none" w:sz="0" w:space="0" w:color="auto"/>
                                        <w:right w:val="none" w:sz="0" w:space="0" w:color="auto"/>
                                      </w:divBdr>
                                      <w:divsChild>
                                        <w:div w:id="1993561502">
                                          <w:marLeft w:val="-75"/>
                                          <w:marRight w:val="-75"/>
                                          <w:marTop w:val="0"/>
                                          <w:marBottom w:val="0"/>
                                          <w:divBdr>
                                            <w:top w:val="none" w:sz="0" w:space="0" w:color="auto"/>
                                            <w:left w:val="none" w:sz="0" w:space="0" w:color="auto"/>
                                            <w:bottom w:val="none" w:sz="0" w:space="0" w:color="auto"/>
                                            <w:right w:val="none" w:sz="0" w:space="0" w:color="auto"/>
                                          </w:divBdr>
                                          <w:divsChild>
                                            <w:div w:id="204291505">
                                              <w:marLeft w:val="0"/>
                                              <w:marRight w:val="0"/>
                                              <w:marTop w:val="0"/>
                                              <w:marBottom w:val="0"/>
                                              <w:divBdr>
                                                <w:top w:val="none" w:sz="0" w:space="0" w:color="auto"/>
                                                <w:left w:val="none" w:sz="0" w:space="0" w:color="auto"/>
                                                <w:bottom w:val="none" w:sz="0" w:space="0" w:color="auto"/>
                                                <w:right w:val="none" w:sz="0" w:space="0" w:color="auto"/>
                                              </w:divBdr>
                                            </w:div>
                                            <w:div w:id="156501382">
                                              <w:marLeft w:val="0"/>
                                              <w:marRight w:val="0"/>
                                              <w:marTop w:val="0"/>
                                              <w:marBottom w:val="0"/>
                                              <w:divBdr>
                                                <w:top w:val="none" w:sz="0" w:space="0" w:color="auto"/>
                                                <w:left w:val="none" w:sz="0" w:space="0" w:color="auto"/>
                                                <w:bottom w:val="none" w:sz="0" w:space="0" w:color="auto"/>
                                                <w:right w:val="none" w:sz="0" w:space="0" w:color="auto"/>
                                              </w:divBdr>
                                            </w:div>
                                            <w:div w:id="1303459240">
                                              <w:marLeft w:val="0"/>
                                              <w:marRight w:val="0"/>
                                              <w:marTop w:val="0"/>
                                              <w:marBottom w:val="0"/>
                                              <w:divBdr>
                                                <w:top w:val="none" w:sz="0" w:space="0" w:color="auto"/>
                                                <w:left w:val="none" w:sz="0" w:space="0" w:color="auto"/>
                                                <w:bottom w:val="none" w:sz="0" w:space="0" w:color="auto"/>
                                                <w:right w:val="none" w:sz="0" w:space="0" w:color="auto"/>
                                              </w:divBdr>
                                            </w:div>
                                            <w:div w:id="21436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pexecutive.com/post/new-york-halts-non-essential-construction/" TargetMode="External"/><Relationship Id="rId11" Type="http://schemas.openxmlformats.org/officeDocument/2006/relationships/image" Target="media/image4.jpeg"/><Relationship Id="rId5" Type="http://schemas.openxmlformats.org/officeDocument/2006/relationships/hyperlink" Target="https://www.cpexecutive.com/post/top-5-markets-for-office-construction-activity/"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pexecutive.com/post/columbia-property-trust-buys-normandy-real-estate-in-cash-stock-d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Foster</dc:creator>
  <cp:keywords/>
  <dc:description/>
  <cp:lastModifiedBy>Lana Foster</cp:lastModifiedBy>
  <cp:revision>2</cp:revision>
  <dcterms:created xsi:type="dcterms:W3CDTF">2020-09-11T20:28:00Z</dcterms:created>
  <dcterms:modified xsi:type="dcterms:W3CDTF">2020-09-11T20:28:00Z</dcterms:modified>
</cp:coreProperties>
</file>