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0EA9" w14:textId="66B9BDA4" w:rsidR="005F1958" w:rsidRPr="005F1958" w:rsidRDefault="005F1958" w:rsidP="005F1958">
      <w:pPr>
        <w:shd w:val="clear" w:color="auto" w:fill="FCFCFC"/>
        <w:spacing w:before="300" w:after="150"/>
        <w:outlineLvl w:val="0"/>
        <w:rPr>
          <w:rFonts w:ascii="inherit" w:eastAsia="Times New Roman" w:hAnsi="inherit" w:cs="Times New Roman"/>
          <w:b/>
          <w:bCs/>
          <w:color w:val="000000"/>
          <w:kern w:val="36"/>
          <w:sz w:val="72"/>
          <w:szCs w:val="72"/>
        </w:rPr>
      </w:pPr>
      <w:r w:rsidRPr="005F1958">
        <w:rPr>
          <w:rFonts w:ascii="inherit" w:eastAsia="Times New Roman" w:hAnsi="inherit" w:cs="Times New Roman"/>
          <w:b/>
          <w:bCs/>
          <w:color w:val="000000"/>
          <w:kern w:val="36"/>
          <w:sz w:val="72"/>
          <w:szCs w:val="72"/>
        </w:rPr>
        <w:t>ACORE Lends $47M on Greenwich Former Textile Mill Residential Conversion</w:t>
      </w:r>
    </w:p>
    <w:p w14:paraId="6A4E2ACE" w14:textId="77777777" w:rsidR="005F1958" w:rsidRPr="005F1958" w:rsidRDefault="005F1958" w:rsidP="005F1958">
      <w:pPr>
        <w:shd w:val="clear" w:color="auto" w:fill="FCFCFC"/>
        <w:spacing w:before="150" w:after="150"/>
        <w:outlineLvl w:val="5"/>
        <w:rPr>
          <w:rFonts w:ascii="inherit" w:eastAsia="Times New Roman" w:hAnsi="inherit" w:cs="Times New Roman"/>
          <w:b/>
          <w:bCs/>
          <w:caps/>
          <w:color w:val="A9A9A9"/>
          <w:sz w:val="21"/>
          <w:szCs w:val="21"/>
        </w:rPr>
      </w:pPr>
      <w:r w:rsidRPr="005F1958">
        <w:rPr>
          <w:rFonts w:ascii="inherit" w:eastAsia="Times New Roman" w:hAnsi="inherit" w:cs="Times New Roman"/>
          <w:b/>
          <w:bCs/>
          <w:caps/>
          <w:color w:val="A9A9A9"/>
          <w:sz w:val="21"/>
          <w:szCs w:val="21"/>
        </w:rPr>
        <w:t>BY </w:t>
      </w:r>
      <w:hyperlink r:id="rId4" w:tooltip="Posts by Mack Burke" w:history="1">
        <w:r w:rsidRPr="005F1958">
          <w:rPr>
            <w:rFonts w:ascii="inherit" w:eastAsia="Times New Roman" w:hAnsi="inherit" w:cs="Times New Roman"/>
            <w:b/>
            <w:bCs/>
            <w:caps/>
            <w:color w:val="0077BB"/>
            <w:sz w:val="21"/>
            <w:szCs w:val="21"/>
            <w:u w:val="single"/>
          </w:rPr>
          <w:t>MACK BURKE</w:t>
        </w:r>
      </w:hyperlink>
      <w:r w:rsidRPr="005F1958">
        <w:rPr>
          <w:rFonts w:ascii="inherit" w:eastAsia="Times New Roman" w:hAnsi="inherit" w:cs="Times New Roman"/>
          <w:b/>
          <w:bCs/>
          <w:caps/>
          <w:color w:val="A9A9A9"/>
          <w:sz w:val="21"/>
          <w:szCs w:val="21"/>
        </w:rPr>
        <w:t xml:space="preserve"> AUGUST 13, 2019 7:00 AM</w:t>
      </w:r>
    </w:p>
    <w:p w14:paraId="7D03CAA0" w14:textId="77777777" w:rsidR="005F1958" w:rsidRPr="005F1958" w:rsidRDefault="005F1958" w:rsidP="005F1958">
      <w:pPr>
        <w:shd w:val="clear" w:color="auto" w:fill="FCFCFC"/>
        <w:rPr>
          <w:rFonts w:ascii="Helvetica Neue" w:eastAsia="Times New Roman" w:hAnsi="Helvetica Neue" w:cs="Times New Roman"/>
          <w:color w:val="404040"/>
          <w:sz w:val="21"/>
          <w:szCs w:val="21"/>
        </w:rPr>
      </w:pPr>
      <w:bookmarkStart w:id="0" w:name="_GoBack"/>
      <w:bookmarkEnd w:id="0"/>
      <w:r w:rsidRPr="005F1958">
        <w:rPr>
          <w:rFonts w:ascii="Helvetica Neue" w:eastAsia="Times New Roman" w:hAnsi="Helvetica Neue" w:cs="Times New Roman"/>
          <w:b/>
          <w:bCs/>
          <w:caps/>
          <w:color w:val="A9A9A9"/>
          <w:sz w:val="21"/>
          <w:szCs w:val="21"/>
        </w:rPr>
        <w:t>THE MILL BUILDING AT THE SITE LOCATED AT 10 GLENVILLE STREET IN GREENWICH, CONN. COURTESY: ACORE CAPITAL</w:t>
      </w:r>
    </w:p>
    <w:p w14:paraId="158149AC" w14:textId="77777777" w:rsidR="005F1958" w:rsidRPr="005F1958" w:rsidRDefault="00D5719C" w:rsidP="005F1958">
      <w:pPr>
        <w:shd w:val="clear" w:color="auto" w:fill="FCFCFC"/>
        <w:spacing w:before="300" w:after="300"/>
        <w:rPr>
          <w:rFonts w:ascii="Helvetica Neue" w:eastAsia="Times New Roman" w:hAnsi="Helvetica Neue" w:cs="Times New Roman"/>
          <w:color w:val="404040"/>
          <w:sz w:val="21"/>
          <w:szCs w:val="21"/>
        </w:rPr>
      </w:pPr>
      <w:r w:rsidRPr="005F1958">
        <w:rPr>
          <w:rFonts w:ascii="Helvetica Neue" w:eastAsia="Times New Roman" w:hAnsi="Helvetica Neue" w:cs="Times New Roman"/>
          <w:noProof/>
          <w:color w:val="404040"/>
          <w:sz w:val="21"/>
          <w:szCs w:val="21"/>
        </w:rPr>
        <w:pict w14:anchorId="1AB93F29">
          <v:rect id="_x0000_i1026" alt="" style="width:468pt;height:.05pt;mso-width-percent:0;mso-height-percent:0;mso-width-percent:0;mso-height-percent:0" o:hralign="center" o:hrstd="t" o:hr="t" fillcolor="#a0a0a0" stroked="f"/>
        </w:pict>
      </w:r>
    </w:p>
    <w:p w14:paraId="1BF4148B" w14:textId="77777777" w:rsidR="005F1958" w:rsidRPr="005F1958" w:rsidRDefault="00D5719C" w:rsidP="005F1958">
      <w:pPr>
        <w:shd w:val="clear" w:color="auto" w:fill="FCFCFC"/>
        <w:spacing w:before="225"/>
        <w:rPr>
          <w:rFonts w:ascii="Helvetica Neue" w:eastAsia="Times New Roman" w:hAnsi="Helvetica Neue" w:cs="Times New Roman"/>
          <w:color w:val="404040"/>
          <w:sz w:val="21"/>
          <w:szCs w:val="21"/>
        </w:rPr>
      </w:pPr>
      <w:r w:rsidRPr="005F1958">
        <w:rPr>
          <w:rFonts w:ascii="Helvetica Neue" w:eastAsia="Times New Roman" w:hAnsi="Helvetica Neue" w:cs="Times New Roman"/>
          <w:noProof/>
          <w:color w:val="404040"/>
          <w:sz w:val="21"/>
          <w:szCs w:val="21"/>
        </w:rPr>
        <w:pict w14:anchorId="7E466E2E">
          <v:rect id="_x0000_i1025" alt="" style="width:468pt;height:.05pt;mso-width-percent:0;mso-height-percent:0;mso-width-percent:0;mso-height-percent:0" o:hralign="center" o:hrstd="t" o:hr="t" fillcolor="#a0a0a0" stroked="f"/>
        </w:pict>
      </w:r>
    </w:p>
    <w:p w14:paraId="7DC4CFCA"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b/>
          <w:bCs/>
          <w:color w:val="404040"/>
          <w:sz w:val="30"/>
          <w:szCs w:val="30"/>
        </w:rPr>
        <w:t>ACORE Capital</w:t>
      </w:r>
      <w:r w:rsidRPr="005F1958">
        <w:rPr>
          <w:rFonts w:ascii="Times New Roman" w:eastAsia="Times New Roman" w:hAnsi="Times New Roman" w:cs="Times New Roman"/>
          <w:color w:val="404040"/>
          <w:sz w:val="30"/>
          <w:szCs w:val="30"/>
        </w:rPr>
        <w:t> has provided </w:t>
      </w:r>
      <w:r w:rsidRPr="005F1958">
        <w:rPr>
          <w:rFonts w:ascii="Times New Roman" w:eastAsia="Times New Roman" w:hAnsi="Times New Roman" w:cs="Times New Roman"/>
          <w:b/>
          <w:bCs/>
          <w:color w:val="404040"/>
          <w:sz w:val="30"/>
          <w:szCs w:val="30"/>
        </w:rPr>
        <w:t>The Mill Owners Company</w:t>
      </w:r>
      <w:r w:rsidRPr="005F1958">
        <w:rPr>
          <w:rFonts w:ascii="Times New Roman" w:eastAsia="Times New Roman" w:hAnsi="Times New Roman" w:cs="Times New Roman"/>
          <w:color w:val="404040"/>
          <w:sz w:val="30"/>
          <w:szCs w:val="30"/>
        </w:rPr>
        <w:t> with a $46.5 million loan to recapitalize </w:t>
      </w:r>
      <w:r w:rsidRPr="005F1958">
        <w:rPr>
          <w:rFonts w:ascii="Times New Roman" w:eastAsia="Times New Roman" w:hAnsi="Times New Roman" w:cs="Times New Roman"/>
          <w:b/>
          <w:bCs/>
          <w:color w:val="404040"/>
          <w:sz w:val="30"/>
          <w:szCs w:val="30"/>
        </w:rPr>
        <w:t>The Mill </w:t>
      </w:r>
      <w:r w:rsidRPr="005F1958">
        <w:rPr>
          <w:rFonts w:ascii="Times New Roman" w:eastAsia="Times New Roman" w:hAnsi="Times New Roman" w:cs="Times New Roman"/>
          <w:color w:val="404040"/>
          <w:sz w:val="30"/>
          <w:szCs w:val="30"/>
        </w:rPr>
        <w:t>in Greenwich, Conn., and facilitate the conversion of the former cotton mill on the five-building site from offices to residential use, Commercial Observer has learned. </w:t>
      </w:r>
    </w:p>
    <w:p w14:paraId="02647A8A" w14:textId="77777777" w:rsidR="005F1958" w:rsidRPr="005F1958" w:rsidRDefault="005F1958" w:rsidP="005F1958">
      <w:pPr>
        <w:shd w:val="clear" w:color="auto" w:fill="FCFCFC"/>
        <w:spacing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b/>
          <w:bCs/>
          <w:color w:val="404040"/>
          <w:sz w:val="30"/>
          <w:szCs w:val="30"/>
        </w:rPr>
        <w:t>SEE ALSO: </w:t>
      </w:r>
      <w:hyperlink r:id="rId5" w:history="1">
        <w:r w:rsidRPr="005F1958">
          <w:rPr>
            <w:rFonts w:ascii="Times New Roman" w:eastAsia="Times New Roman" w:hAnsi="Times New Roman" w:cs="Times New Roman"/>
            <w:color w:val="0077BB"/>
            <w:sz w:val="30"/>
            <w:szCs w:val="30"/>
            <w:u w:val="single"/>
          </w:rPr>
          <w:t>Flynn Gets $41M ACORE Loan in Eastern Expansion Effort</w:t>
        </w:r>
      </w:hyperlink>
    </w:p>
    <w:p w14:paraId="63BDA0E0"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The five-year financing has a three-year initial term, with two one-year extensions, and includes a first mortgage and mezzanine piece. It closed on Aug. 1. </w:t>
      </w:r>
    </w:p>
    <w:p w14:paraId="7CD199AD"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b/>
          <w:bCs/>
          <w:color w:val="404040"/>
          <w:sz w:val="30"/>
          <w:szCs w:val="30"/>
        </w:rPr>
        <w:t>Iron Hound Management</w:t>
      </w:r>
      <w:r w:rsidRPr="005F1958">
        <w:rPr>
          <w:rFonts w:ascii="Times New Roman" w:eastAsia="Times New Roman" w:hAnsi="Times New Roman" w:cs="Times New Roman"/>
          <w:color w:val="404040"/>
          <w:sz w:val="30"/>
          <w:szCs w:val="30"/>
        </w:rPr>
        <w:t> brokered the debt on behalf of the borrowing entity, which is managed by </w:t>
      </w:r>
      <w:r w:rsidRPr="005F1958">
        <w:rPr>
          <w:rFonts w:ascii="Times New Roman" w:eastAsia="Times New Roman" w:hAnsi="Times New Roman" w:cs="Times New Roman"/>
          <w:b/>
          <w:bCs/>
          <w:color w:val="404040"/>
          <w:sz w:val="30"/>
          <w:szCs w:val="30"/>
        </w:rPr>
        <w:t>Steve Schacter</w:t>
      </w:r>
      <w:r w:rsidRPr="005F1958">
        <w:rPr>
          <w:rFonts w:ascii="Times New Roman" w:eastAsia="Times New Roman" w:hAnsi="Times New Roman" w:cs="Times New Roman"/>
          <w:color w:val="404040"/>
          <w:sz w:val="30"/>
          <w:szCs w:val="30"/>
        </w:rPr>
        <w:t>, the president of </w:t>
      </w:r>
      <w:r w:rsidRPr="005F1958">
        <w:rPr>
          <w:rFonts w:ascii="Times New Roman" w:eastAsia="Times New Roman" w:hAnsi="Times New Roman" w:cs="Times New Roman"/>
          <w:b/>
          <w:bCs/>
          <w:color w:val="404040"/>
          <w:sz w:val="30"/>
          <w:szCs w:val="30"/>
        </w:rPr>
        <w:t>Mill Management</w:t>
      </w:r>
      <w:r w:rsidRPr="005F1958">
        <w:rPr>
          <w:rFonts w:ascii="Times New Roman" w:eastAsia="Times New Roman" w:hAnsi="Times New Roman" w:cs="Times New Roman"/>
          <w:color w:val="404040"/>
          <w:sz w:val="30"/>
          <w:szCs w:val="30"/>
        </w:rPr>
        <w:t>. </w:t>
      </w:r>
    </w:p>
    <w:p w14:paraId="10016CB3"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The work planned by Schacter and his partners includes converting a three-story 18th century former textile mill called the “</w:t>
      </w:r>
      <w:r w:rsidRPr="005F1958">
        <w:rPr>
          <w:rFonts w:ascii="Times New Roman" w:eastAsia="Times New Roman" w:hAnsi="Times New Roman" w:cs="Times New Roman"/>
          <w:b/>
          <w:bCs/>
          <w:color w:val="404040"/>
          <w:sz w:val="30"/>
          <w:szCs w:val="30"/>
        </w:rPr>
        <w:t>1881</w:t>
      </w:r>
      <w:r w:rsidRPr="005F1958">
        <w:rPr>
          <w:rFonts w:ascii="Times New Roman" w:eastAsia="Times New Roman" w:hAnsi="Times New Roman" w:cs="Times New Roman"/>
          <w:color w:val="404040"/>
          <w:sz w:val="30"/>
          <w:szCs w:val="30"/>
        </w:rPr>
        <w:t xml:space="preserve">” building from offices </w:t>
      </w:r>
      <w:r w:rsidRPr="005F1958">
        <w:rPr>
          <w:rFonts w:ascii="Times New Roman" w:eastAsia="Times New Roman" w:hAnsi="Times New Roman" w:cs="Times New Roman"/>
          <w:color w:val="404040"/>
          <w:sz w:val="30"/>
          <w:szCs w:val="30"/>
        </w:rPr>
        <w:lastRenderedPageBreak/>
        <w:t>to high-end residential space. Plans also include work on a separate mixed-use building called “</w:t>
      </w:r>
      <w:r w:rsidRPr="005F1958">
        <w:rPr>
          <w:rFonts w:ascii="Times New Roman" w:eastAsia="Times New Roman" w:hAnsi="Times New Roman" w:cs="Times New Roman"/>
          <w:b/>
          <w:bCs/>
          <w:color w:val="404040"/>
          <w:sz w:val="30"/>
          <w:szCs w:val="30"/>
        </w:rPr>
        <w:t>1981</w:t>
      </w:r>
      <w:r w:rsidRPr="005F1958">
        <w:rPr>
          <w:rFonts w:ascii="Times New Roman" w:eastAsia="Times New Roman" w:hAnsi="Times New Roman" w:cs="Times New Roman"/>
          <w:color w:val="404040"/>
          <w:sz w:val="30"/>
          <w:szCs w:val="30"/>
        </w:rPr>
        <w:t>,” Schacter said. The work will cost around $65 million to complete. </w:t>
      </w:r>
    </w:p>
    <w:p w14:paraId="21B3C368"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The 1881 building includes an iconic Gothic Revival-style clock tower overlooking a waterfall that previously fueled the mill. It also features an adjoining parking garage, according to the site’s website. </w:t>
      </w:r>
    </w:p>
    <w:p w14:paraId="085C1EFD"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“In converting from office to residential, we had a good deal more parking than necessary, so we’re using the lowest level of a three-story garage, converting that to apartments,” Schacter told CO. </w:t>
      </w:r>
    </w:p>
    <w:p w14:paraId="511D77D9"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The 1981 property will include ground-level office and a medical component, he said. </w:t>
      </w:r>
    </w:p>
    <w:p w14:paraId="728B928D"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“The market [was] telling us that office wasn’t the best use. We believe that the downturn in 2007 and 2008 in the local office market was structural rather than cyclical,” Schacter said. “That got us thinking about what else we can do with it.” </w:t>
      </w:r>
    </w:p>
    <w:p w14:paraId="6F821971"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He said they explored a repositioning of 1881 into a senior care facility or medical office but ultimately settled on luxury multifamily.</w:t>
      </w:r>
    </w:p>
    <w:p w14:paraId="6D16E561"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The 1881 property will mainly comprise one-bedrooms and one-bedrooms with dens, Schacter said, while 1981 will include larger one-bedrooms with dens, with about 25 percent of the units being three-bedrooms. </w:t>
      </w:r>
    </w:p>
    <w:p w14:paraId="226AB8A5"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lastRenderedPageBreak/>
        <w:t>Schacter said he and his partners had previously renovated the 1881 building, converting it to office space, and had already demolished its interior ahead of securing this new financing from ACORE. He said they’ve been involved with the site since the late 1970s and he and his partners actually constructed the 1981 building — which recently served as temporary office space for private investment company </w:t>
      </w:r>
      <w:r w:rsidRPr="005F1958">
        <w:rPr>
          <w:rFonts w:ascii="Times New Roman" w:eastAsia="Times New Roman" w:hAnsi="Times New Roman" w:cs="Times New Roman"/>
          <w:b/>
          <w:bCs/>
          <w:color w:val="404040"/>
          <w:sz w:val="30"/>
          <w:szCs w:val="30"/>
        </w:rPr>
        <w:t>L Catterton</w:t>
      </w:r>
      <w:r w:rsidRPr="005F1958">
        <w:rPr>
          <w:rFonts w:ascii="Times New Roman" w:eastAsia="Times New Roman" w:hAnsi="Times New Roman" w:cs="Times New Roman"/>
          <w:color w:val="404040"/>
          <w:sz w:val="30"/>
          <w:szCs w:val="30"/>
        </w:rPr>
        <w:t> for about 18 to 22 months — in 1981.</w:t>
      </w:r>
    </w:p>
    <w:p w14:paraId="733A55E6"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“This is not our first rodeo [with these buildings], but renovation holds more surprises than ground-up,” Schacter said. “We have sizable contingencies.”</w:t>
      </w:r>
    </w:p>
    <w:p w14:paraId="1FFE4F18"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As for monthly rents at the new residential units, Schacter said: “We’re thinking around $2,000 [per month] for the smallest one-bedroom and around $8,000 [per month] for the three-bedroom, three-and-a-half bathrooms.”</w:t>
      </w:r>
    </w:p>
    <w:p w14:paraId="7A2D0CFA"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The first buildings at the historic 200-year-old site were erected by a local business man to be used as a cotton mill in the late 18th century, benefitting from the presence of the Byram River that borders the property. </w:t>
      </w:r>
    </w:p>
    <w:p w14:paraId="2D57DB0B"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Overall, the site — at </w:t>
      </w:r>
      <w:r w:rsidRPr="005F1958">
        <w:rPr>
          <w:rFonts w:ascii="Times New Roman" w:eastAsia="Times New Roman" w:hAnsi="Times New Roman" w:cs="Times New Roman"/>
          <w:b/>
          <w:bCs/>
          <w:color w:val="404040"/>
          <w:sz w:val="30"/>
          <w:szCs w:val="30"/>
        </w:rPr>
        <w:t>10 Glenville Street </w:t>
      </w:r>
      <w:r w:rsidRPr="005F1958">
        <w:rPr>
          <w:rFonts w:ascii="Times New Roman" w:eastAsia="Times New Roman" w:hAnsi="Times New Roman" w:cs="Times New Roman"/>
          <w:color w:val="404040"/>
          <w:sz w:val="30"/>
          <w:szCs w:val="30"/>
        </w:rPr>
        <w:t>— comprises five buildings situated on just under nine acres. It currently includes 79 multifamily units and roughly 28,000 square feet of retail and office space and 336 parking spaces. </w:t>
      </w:r>
    </w:p>
    <w:p w14:paraId="1E7AF12A"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Property wide, the site still has 11,489 rentable square feet of retail to go along with 17,014 square feet of office space. </w:t>
      </w:r>
    </w:p>
    <w:p w14:paraId="6D82ACA0"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lastRenderedPageBreak/>
        <w:t>A third building at the site is a two-story rental called the </w:t>
      </w:r>
      <w:r w:rsidRPr="005F1958">
        <w:rPr>
          <w:rFonts w:ascii="Times New Roman" w:eastAsia="Times New Roman" w:hAnsi="Times New Roman" w:cs="Times New Roman"/>
          <w:b/>
          <w:bCs/>
          <w:color w:val="404040"/>
          <w:sz w:val="30"/>
          <w:szCs w:val="30"/>
        </w:rPr>
        <w:t>Railroad Building</w:t>
      </w:r>
      <w:r w:rsidRPr="005F1958">
        <w:rPr>
          <w:rFonts w:ascii="Times New Roman" w:eastAsia="Times New Roman" w:hAnsi="Times New Roman" w:cs="Times New Roman"/>
          <w:color w:val="404040"/>
          <w:sz w:val="30"/>
          <w:szCs w:val="30"/>
        </w:rPr>
        <w:t> that was built in 1875 to serve as a station for a rail line that never came to fruition in the town. The site also features </w:t>
      </w:r>
      <w:r w:rsidRPr="005F1958">
        <w:rPr>
          <w:rFonts w:ascii="Times New Roman" w:eastAsia="Times New Roman" w:hAnsi="Times New Roman" w:cs="Times New Roman"/>
          <w:b/>
          <w:bCs/>
          <w:color w:val="404040"/>
          <w:sz w:val="30"/>
          <w:szCs w:val="30"/>
        </w:rPr>
        <w:t>The Restaurant Building</w:t>
      </w:r>
      <w:r w:rsidRPr="005F1958">
        <w:rPr>
          <w:rFonts w:ascii="Times New Roman" w:eastAsia="Times New Roman" w:hAnsi="Times New Roman" w:cs="Times New Roman"/>
          <w:color w:val="404040"/>
          <w:sz w:val="30"/>
          <w:szCs w:val="30"/>
        </w:rPr>
        <w:t>, which houses a restaurant with a patio overlooking the river, retail space and some rental units. The fifth and final property is called </w:t>
      </w:r>
      <w:r w:rsidRPr="005F1958">
        <w:rPr>
          <w:rFonts w:ascii="Times New Roman" w:eastAsia="Times New Roman" w:hAnsi="Times New Roman" w:cs="Times New Roman"/>
          <w:b/>
          <w:bCs/>
          <w:color w:val="404040"/>
          <w:sz w:val="30"/>
          <w:szCs w:val="30"/>
        </w:rPr>
        <w:t>The Mansion</w:t>
      </w:r>
      <w:r w:rsidRPr="005F1958">
        <w:rPr>
          <w:rFonts w:ascii="Times New Roman" w:eastAsia="Times New Roman" w:hAnsi="Times New Roman" w:cs="Times New Roman"/>
          <w:color w:val="404040"/>
          <w:sz w:val="30"/>
          <w:szCs w:val="30"/>
        </w:rPr>
        <w:t>, a Victorian building offering office space that fronts Glenville Street. </w:t>
      </w:r>
    </w:p>
    <w:p w14:paraId="49256432" w14:textId="77777777" w:rsidR="005F1958" w:rsidRPr="005F1958" w:rsidRDefault="005F1958" w:rsidP="005F1958">
      <w:pPr>
        <w:shd w:val="clear" w:color="auto" w:fill="FCFCFC"/>
        <w:spacing w:before="360" w:after="150" w:line="480" w:lineRule="atLeast"/>
        <w:rPr>
          <w:rFonts w:ascii="Times New Roman" w:eastAsia="Times New Roman" w:hAnsi="Times New Roman" w:cs="Times New Roman"/>
          <w:color w:val="404040"/>
          <w:sz w:val="30"/>
          <w:szCs w:val="30"/>
        </w:rPr>
      </w:pPr>
      <w:r w:rsidRPr="005F1958">
        <w:rPr>
          <w:rFonts w:ascii="Times New Roman" w:eastAsia="Times New Roman" w:hAnsi="Times New Roman" w:cs="Times New Roman"/>
          <w:color w:val="404040"/>
          <w:sz w:val="30"/>
          <w:szCs w:val="30"/>
        </w:rPr>
        <w:t>Amenities at the site include a “wellness center” operated by </w:t>
      </w:r>
      <w:r w:rsidRPr="005F1958">
        <w:rPr>
          <w:rFonts w:ascii="Times New Roman" w:eastAsia="Times New Roman" w:hAnsi="Times New Roman" w:cs="Times New Roman"/>
          <w:b/>
          <w:bCs/>
          <w:color w:val="404040"/>
          <w:sz w:val="30"/>
          <w:szCs w:val="30"/>
        </w:rPr>
        <w:t>Kaia Yoga</w:t>
      </w:r>
      <w:r w:rsidRPr="005F1958">
        <w:rPr>
          <w:rFonts w:ascii="Times New Roman" w:eastAsia="Times New Roman" w:hAnsi="Times New Roman" w:cs="Times New Roman"/>
          <w:color w:val="404040"/>
          <w:sz w:val="30"/>
          <w:szCs w:val="30"/>
        </w:rPr>
        <w:t> that includes a massage parlor and a café, two restaurants — </w:t>
      </w:r>
      <w:proofErr w:type="spellStart"/>
      <w:r w:rsidRPr="005F1958">
        <w:rPr>
          <w:rFonts w:ascii="Times New Roman" w:eastAsia="Times New Roman" w:hAnsi="Times New Roman" w:cs="Times New Roman"/>
          <w:b/>
          <w:bCs/>
          <w:color w:val="404040"/>
          <w:sz w:val="30"/>
          <w:szCs w:val="30"/>
        </w:rPr>
        <w:t>Bambou</w:t>
      </w:r>
      <w:proofErr w:type="spellEnd"/>
      <w:r w:rsidRPr="005F1958">
        <w:rPr>
          <w:rFonts w:ascii="Times New Roman" w:eastAsia="Times New Roman" w:hAnsi="Times New Roman" w:cs="Times New Roman"/>
          <w:color w:val="404040"/>
          <w:sz w:val="30"/>
          <w:szCs w:val="30"/>
        </w:rPr>
        <w:t> and </w:t>
      </w:r>
      <w:r w:rsidRPr="005F1958">
        <w:rPr>
          <w:rFonts w:ascii="Times New Roman" w:eastAsia="Times New Roman" w:hAnsi="Times New Roman" w:cs="Times New Roman"/>
          <w:b/>
          <w:bCs/>
          <w:color w:val="404040"/>
          <w:sz w:val="30"/>
          <w:szCs w:val="30"/>
        </w:rPr>
        <w:t>Centro </w:t>
      </w:r>
      <w:r w:rsidRPr="005F1958">
        <w:rPr>
          <w:rFonts w:ascii="Times New Roman" w:eastAsia="Times New Roman" w:hAnsi="Times New Roman" w:cs="Times New Roman"/>
          <w:color w:val="404040"/>
          <w:sz w:val="30"/>
          <w:szCs w:val="30"/>
        </w:rPr>
        <w:t>— with outdoor patios, a salon called </w:t>
      </w:r>
      <w:r w:rsidRPr="005F1958">
        <w:rPr>
          <w:rFonts w:ascii="Times New Roman" w:eastAsia="Times New Roman" w:hAnsi="Times New Roman" w:cs="Times New Roman"/>
          <w:b/>
          <w:bCs/>
          <w:color w:val="404040"/>
          <w:sz w:val="30"/>
          <w:szCs w:val="30"/>
        </w:rPr>
        <w:t>New Wave Salon</w:t>
      </w:r>
      <w:r w:rsidRPr="005F1958">
        <w:rPr>
          <w:rFonts w:ascii="Times New Roman" w:eastAsia="Times New Roman" w:hAnsi="Times New Roman" w:cs="Times New Roman"/>
          <w:color w:val="404040"/>
          <w:sz w:val="30"/>
          <w:szCs w:val="30"/>
        </w:rPr>
        <w:t>, interior design services through </w:t>
      </w:r>
      <w:r w:rsidRPr="005F1958">
        <w:rPr>
          <w:rFonts w:ascii="Times New Roman" w:eastAsia="Times New Roman" w:hAnsi="Times New Roman" w:cs="Times New Roman"/>
          <w:b/>
          <w:bCs/>
          <w:color w:val="404040"/>
          <w:sz w:val="30"/>
          <w:szCs w:val="30"/>
        </w:rPr>
        <w:t xml:space="preserve">Kent </w:t>
      </w:r>
      <w:proofErr w:type="spellStart"/>
      <w:r w:rsidRPr="005F1958">
        <w:rPr>
          <w:rFonts w:ascii="Times New Roman" w:eastAsia="Times New Roman" w:hAnsi="Times New Roman" w:cs="Times New Roman"/>
          <w:b/>
          <w:bCs/>
          <w:color w:val="404040"/>
          <w:sz w:val="30"/>
          <w:szCs w:val="30"/>
        </w:rPr>
        <w:t>Pruzan</w:t>
      </w:r>
      <w:proofErr w:type="spellEnd"/>
      <w:r w:rsidRPr="005F1958">
        <w:rPr>
          <w:rFonts w:ascii="Times New Roman" w:eastAsia="Times New Roman" w:hAnsi="Times New Roman" w:cs="Times New Roman"/>
          <w:b/>
          <w:bCs/>
          <w:color w:val="404040"/>
          <w:sz w:val="30"/>
          <w:szCs w:val="30"/>
        </w:rPr>
        <w:t xml:space="preserve"> Interiors</w:t>
      </w:r>
      <w:r w:rsidRPr="005F1958">
        <w:rPr>
          <w:rFonts w:ascii="Times New Roman" w:eastAsia="Times New Roman" w:hAnsi="Times New Roman" w:cs="Times New Roman"/>
          <w:color w:val="404040"/>
          <w:sz w:val="30"/>
          <w:szCs w:val="30"/>
        </w:rPr>
        <w:t>, and complimentary shuttle service between the property and the Greenwich train station. </w:t>
      </w:r>
    </w:p>
    <w:p w14:paraId="3A81A58F" w14:textId="77777777" w:rsidR="001B4F29" w:rsidRDefault="001B4F29"/>
    <w:sectPr w:rsidR="001B4F29" w:rsidSect="008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58"/>
    <w:rsid w:val="001B4F29"/>
    <w:rsid w:val="005F1958"/>
    <w:rsid w:val="0085667B"/>
    <w:rsid w:val="008E3809"/>
    <w:rsid w:val="00D5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EA4E"/>
  <w15:chartTrackingRefBased/>
  <w15:docId w15:val="{D112E61B-D20E-F443-8E03-2BD2F0B4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F195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5F1958"/>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958"/>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5F1958"/>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5F1958"/>
    <w:rPr>
      <w:color w:val="0000FF"/>
      <w:u w:val="single"/>
    </w:rPr>
  </w:style>
  <w:style w:type="character" w:customStyle="1" w:styleId="date">
    <w:name w:val="date"/>
    <w:basedOn w:val="DefaultParagraphFont"/>
    <w:rsid w:val="005F1958"/>
  </w:style>
  <w:style w:type="character" w:customStyle="1" w:styleId="caption">
    <w:name w:val="caption"/>
    <w:basedOn w:val="DefaultParagraphFont"/>
    <w:rsid w:val="005F1958"/>
  </w:style>
  <w:style w:type="character" w:customStyle="1" w:styleId="media-credit">
    <w:name w:val="media-credit"/>
    <w:basedOn w:val="DefaultParagraphFont"/>
    <w:rsid w:val="005F1958"/>
  </w:style>
  <w:style w:type="paragraph" w:styleId="NormalWeb">
    <w:name w:val="Normal (Web)"/>
    <w:basedOn w:val="Normal"/>
    <w:uiPriority w:val="99"/>
    <w:semiHidden/>
    <w:unhideWhenUsed/>
    <w:rsid w:val="005F195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91362">
      <w:bodyDiv w:val="1"/>
      <w:marLeft w:val="0"/>
      <w:marRight w:val="0"/>
      <w:marTop w:val="0"/>
      <w:marBottom w:val="0"/>
      <w:divBdr>
        <w:top w:val="none" w:sz="0" w:space="0" w:color="auto"/>
        <w:left w:val="none" w:sz="0" w:space="0" w:color="auto"/>
        <w:bottom w:val="none" w:sz="0" w:space="0" w:color="auto"/>
        <w:right w:val="none" w:sz="0" w:space="0" w:color="auto"/>
      </w:divBdr>
      <w:divsChild>
        <w:div w:id="188840728">
          <w:marLeft w:val="0"/>
          <w:marRight w:val="0"/>
          <w:marTop w:val="0"/>
          <w:marBottom w:val="0"/>
          <w:divBdr>
            <w:top w:val="none" w:sz="0" w:space="0" w:color="auto"/>
            <w:left w:val="none" w:sz="0" w:space="0" w:color="auto"/>
            <w:bottom w:val="none" w:sz="0" w:space="0" w:color="auto"/>
            <w:right w:val="none" w:sz="0" w:space="0" w:color="auto"/>
          </w:divBdr>
          <w:divsChild>
            <w:div w:id="1869220679">
              <w:marLeft w:val="0"/>
              <w:marRight w:val="0"/>
              <w:marTop w:val="0"/>
              <w:marBottom w:val="0"/>
              <w:divBdr>
                <w:top w:val="none" w:sz="0" w:space="0" w:color="auto"/>
                <w:left w:val="none" w:sz="0" w:space="0" w:color="auto"/>
                <w:bottom w:val="none" w:sz="0" w:space="0" w:color="auto"/>
                <w:right w:val="none" w:sz="0" w:space="0" w:color="auto"/>
              </w:divBdr>
            </w:div>
            <w:div w:id="580915892">
              <w:marLeft w:val="0"/>
              <w:marRight w:val="0"/>
              <w:marTop w:val="0"/>
              <w:marBottom w:val="0"/>
              <w:divBdr>
                <w:top w:val="none" w:sz="0" w:space="0" w:color="auto"/>
                <w:left w:val="none" w:sz="0" w:space="0" w:color="auto"/>
                <w:bottom w:val="none" w:sz="0" w:space="0" w:color="auto"/>
                <w:right w:val="none" w:sz="0" w:space="0" w:color="auto"/>
              </w:divBdr>
            </w:div>
          </w:divsChild>
        </w:div>
        <w:div w:id="79376889">
          <w:marLeft w:val="0"/>
          <w:marRight w:val="0"/>
          <w:marTop w:val="0"/>
          <w:marBottom w:val="0"/>
          <w:divBdr>
            <w:top w:val="none" w:sz="0" w:space="0" w:color="auto"/>
            <w:left w:val="none" w:sz="0" w:space="0" w:color="auto"/>
            <w:bottom w:val="none" w:sz="0" w:space="0" w:color="auto"/>
            <w:right w:val="none" w:sz="0" w:space="0" w:color="auto"/>
          </w:divBdr>
          <w:divsChild>
            <w:div w:id="2048144805">
              <w:marLeft w:val="0"/>
              <w:marRight w:val="0"/>
              <w:marTop w:val="450"/>
              <w:marBottom w:val="450"/>
              <w:divBdr>
                <w:top w:val="single" w:sz="6" w:space="11" w:color="000000"/>
                <w:left w:val="none" w:sz="0" w:space="0" w:color="auto"/>
                <w:bottom w:val="single" w:sz="6" w:space="11"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mmercialobserver.com/2019/08/flynn-acore-expansion/" TargetMode="External"/><Relationship Id="rId4" Type="http://schemas.openxmlformats.org/officeDocument/2006/relationships/hyperlink" Target="https://commercialobserver.com/author/mack-bu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Foster</dc:creator>
  <cp:keywords/>
  <dc:description/>
  <cp:lastModifiedBy>Lana Foster</cp:lastModifiedBy>
  <cp:revision>1</cp:revision>
  <dcterms:created xsi:type="dcterms:W3CDTF">2019-08-14T21:08:00Z</dcterms:created>
  <dcterms:modified xsi:type="dcterms:W3CDTF">2019-08-14T21:11:00Z</dcterms:modified>
</cp:coreProperties>
</file>