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F995CE" w14:textId="77777777" w:rsidR="00DD2EB3" w:rsidRPr="00DD2EB3" w:rsidRDefault="00DD2EB3" w:rsidP="00DD2EB3">
      <w:pPr>
        <w:shd w:val="clear" w:color="auto" w:fill="FCFCFC"/>
        <w:spacing w:before="300" w:after="150"/>
        <w:outlineLvl w:val="0"/>
        <w:rPr>
          <w:rFonts w:ascii="inherit" w:eastAsia="Times New Roman" w:hAnsi="inherit" w:cs="Times New Roman"/>
          <w:b/>
          <w:bCs/>
          <w:color w:val="000000"/>
          <w:kern w:val="36"/>
          <w:sz w:val="78"/>
          <w:szCs w:val="78"/>
        </w:rPr>
      </w:pPr>
      <w:r w:rsidRPr="00DD2EB3">
        <w:rPr>
          <w:rFonts w:ascii="inherit" w:eastAsia="Times New Roman" w:hAnsi="inherit" w:cs="Times New Roman"/>
          <w:b/>
          <w:bCs/>
          <w:color w:val="000000"/>
          <w:kern w:val="36"/>
          <w:sz w:val="78"/>
          <w:szCs w:val="78"/>
        </w:rPr>
        <w:t>Philly Office Tower Rises With $187M in Construction Financing</w:t>
      </w:r>
    </w:p>
    <w:p w14:paraId="4CF4D63A" w14:textId="77777777" w:rsidR="00DD2EB3" w:rsidRPr="00DD2EB3" w:rsidRDefault="00DD2EB3" w:rsidP="00DD2EB3">
      <w:pPr>
        <w:shd w:val="clear" w:color="auto" w:fill="FCFCFC"/>
        <w:spacing w:after="225"/>
        <w:outlineLvl w:val="1"/>
        <w:rPr>
          <w:rFonts w:ascii="inherit" w:eastAsia="Times New Roman" w:hAnsi="inherit" w:cs="Times New Roman"/>
          <w:i/>
          <w:iCs/>
          <w:color w:val="000000"/>
          <w:sz w:val="33"/>
          <w:szCs w:val="33"/>
        </w:rPr>
      </w:pPr>
      <w:r w:rsidRPr="00DD2EB3">
        <w:rPr>
          <w:rFonts w:ascii="inherit" w:eastAsia="Times New Roman" w:hAnsi="inherit" w:cs="Times New Roman"/>
          <w:i/>
          <w:iCs/>
          <w:color w:val="000000"/>
          <w:sz w:val="33"/>
          <w:szCs w:val="33"/>
        </w:rPr>
        <w:t>The financing comprises a senior loan, mezzanine debt and a preferred equity component.</w:t>
      </w:r>
    </w:p>
    <w:p w14:paraId="67CB5977" w14:textId="77777777" w:rsidR="00DD2EB3" w:rsidRPr="00DD2EB3" w:rsidRDefault="00DD2EB3" w:rsidP="00DD2EB3">
      <w:pPr>
        <w:shd w:val="clear" w:color="auto" w:fill="FCFCFC"/>
        <w:spacing w:before="150" w:after="150"/>
        <w:outlineLvl w:val="5"/>
        <w:rPr>
          <w:rFonts w:ascii="inherit" w:eastAsia="Times New Roman" w:hAnsi="inherit" w:cs="Times New Roman"/>
          <w:b/>
          <w:bCs/>
          <w:caps/>
          <w:color w:val="A9A9A9"/>
          <w:sz w:val="21"/>
          <w:szCs w:val="21"/>
        </w:rPr>
      </w:pPr>
      <w:r w:rsidRPr="00DD2EB3">
        <w:rPr>
          <w:rFonts w:ascii="inherit" w:eastAsia="Times New Roman" w:hAnsi="inherit" w:cs="Times New Roman"/>
          <w:b/>
          <w:bCs/>
          <w:caps/>
          <w:color w:val="A9A9A9"/>
          <w:sz w:val="21"/>
          <w:szCs w:val="21"/>
        </w:rPr>
        <w:t>BY </w:t>
      </w:r>
      <w:hyperlink r:id="rId4" w:tooltip="Posts by Cathy Cunningham" w:history="1">
        <w:r w:rsidRPr="00DD2EB3">
          <w:rPr>
            <w:rFonts w:ascii="inherit" w:eastAsia="Times New Roman" w:hAnsi="inherit" w:cs="Times New Roman"/>
            <w:b/>
            <w:bCs/>
            <w:caps/>
            <w:color w:val="0077BB"/>
            <w:sz w:val="21"/>
            <w:szCs w:val="21"/>
            <w:u w:val="single"/>
          </w:rPr>
          <w:t>CATHY CUNNINGHAM</w:t>
        </w:r>
      </w:hyperlink>
      <w:r w:rsidRPr="00DD2EB3">
        <w:rPr>
          <w:rFonts w:ascii="inherit" w:eastAsia="Times New Roman" w:hAnsi="inherit" w:cs="Times New Roman"/>
          <w:b/>
          <w:bCs/>
          <w:caps/>
          <w:color w:val="A9A9A9"/>
          <w:sz w:val="21"/>
          <w:szCs w:val="21"/>
        </w:rPr>
        <w:t> AUGUST 11, 2020 11:43 AM</w:t>
      </w:r>
    </w:p>
    <w:p w14:paraId="0EE53AA8" w14:textId="03BB826E" w:rsidR="00DD2EB3" w:rsidRPr="00DD2EB3" w:rsidRDefault="00DD2EB3" w:rsidP="00DD2EB3">
      <w:pPr>
        <w:shd w:val="clear" w:color="auto" w:fill="EEEEEE"/>
        <w:rPr>
          <w:rFonts w:ascii="PT Sans Narrow" w:eastAsia="Times New Roman" w:hAnsi="PT Sans Narrow" w:cs="Times New Roman"/>
          <w:color w:val="404040"/>
          <w:sz w:val="21"/>
          <w:szCs w:val="21"/>
        </w:rPr>
      </w:pPr>
      <w:r w:rsidRPr="00DD2EB3">
        <w:rPr>
          <w:rFonts w:ascii="PT Sans Narrow" w:eastAsia="Times New Roman" w:hAnsi="PT Sans Narrow" w:cs="Times New Roman"/>
          <w:color w:val="404040"/>
          <w:sz w:val="21"/>
          <w:szCs w:val="21"/>
        </w:rPr>
        <w:fldChar w:fldCharType="begin"/>
      </w:r>
      <w:r w:rsidRPr="00DD2EB3">
        <w:rPr>
          <w:rFonts w:ascii="PT Sans Narrow" w:eastAsia="Times New Roman" w:hAnsi="PT Sans Narrow" w:cs="Times New Roman"/>
          <w:color w:val="404040"/>
          <w:sz w:val="21"/>
          <w:szCs w:val="21"/>
        </w:rPr>
        <w:instrText xml:space="preserve"> INCLUDEPICTURE "https://commercialobserver.com/wp-content/uploads/sites/3/2020/08/2222-Market.jpg?quality=80&amp;w=755" \* MERGEFORMATINET </w:instrText>
      </w:r>
      <w:r w:rsidRPr="00DD2EB3">
        <w:rPr>
          <w:rFonts w:ascii="PT Sans Narrow" w:eastAsia="Times New Roman" w:hAnsi="PT Sans Narrow" w:cs="Times New Roman"/>
          <w:color w:val="404040"/>
          <w:sz w:val="21"/>
          <w:szCs w:val="21"/>
        </w:rPr>
        <w:fldChar w:fldCharType="separate"/>
      </w:r>
      <w:r w:rsidRPr="00DD2EB3">
        <w:rPr>
          <w:rFonts w:ascii="PT Sans Narrow" w:eastAsia="Times New Roman" w:hAnsi="PT Sans Narrow" w:cs="Times New Roman"/>
          <w:noProof/>
          <w:color w:val="404040"/>
          <w:sz w:val="21"/>
          <w:szCs w:val="21"/>
        </w:rPr>
        <w:drawing>
          <wp:inline distT="0" distB="0" distL="0" distR="0" wp14:anchorId="06FE493A" wp14:editId="7869890C">
            <wp:extent cx="5943600" cy="3350260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50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D2EB3">
        <w:rPr>
          <w:rFonts w:ascii="PT Sans Narrow" w:eastAsia="Times New Roman" w:hAnsi="PT Sans Narrow" w:cs="Times New Roman"/>
          <w:color w:val="404040"/>
          <w:sz w:val="21"/>
          <w:szCs w:val="21"/>
        </w:rPr>
        <w:fldChar w:fldCharType="end"/>
      </w:r>
    </w:p>
    <w:p w14:paraId="0B07ED1E" w14:textId="77777777" w:rsidR="00DD2EB3" w:rsidRPr="00DD2EB3" w:rsidRDefault="00A635BB" w:rsidP="00DD2EB3">
      <w:pPr>
        <w:shd w:val="clear" w:color="auto" w:fill="FCFCFC"/>
        <w:spacing w:before="300" w:after="300"/>
        <w:rPr>
          <w:rFonts w:ascii="PT Sans Narrow" w:eastAsia="Times New Roman" w:hAnsi="PT Sans Narrow" w:cs="Times New Roman"/>
          <w:color w:val="404040"/>
          <w:sz w:val="21"/>
          <w:szCs w:val="21"/>
        </w:rPr>
      </w:pPr>
      <w:r w:rsidRPr="00DD2EB3">
        <w:rPr>
          <w:rFonts w:ascii="PT Sans Narrow" w:eastAsia="Times New Roman" w:hAnsi="PT Sans Narrow" w:cs="Times New Roman"/>
          <w:noProof/>
          <w:color w:val="404040"/>
          <w:sz w:val="21"/>
          <w:szCs w:val="21"/>
        </w:rPr>
        <w:pict w14:anchorId="644BDBD5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524C26D1" w14:textId="7E9214D8" w:rsidR="00DD2EB3" w:rsidRPr="00DD2EB3" w:rsidRDefault="00DD2EB3" w:rsidP="00F2304A">
      <w:pPr>
        <w:shd w:val="clear" w:color="auto" w:fill="FCFCFC"/>
        <w:spacing w:line="0" w:lineRule="auto"/>
        <w:rPr>
          <w:rFonts w:ascii="Helvetica Neue" w:eastAsia="Times New Roman" w:hAnsi="Helvetica Neue" w:cs="Times New Roman"/>
          <w:color w:val="FFFFFF"/>
          <w:sz w:val="2"/>
          <w:szCs w:val="2"/>
        </w:rPr>
      </w:pPr>
      <w:r w:rsidRPr="00DD2EB3">
        <w:rPr>
          <w:rFonts w:ascii="Helvetica" w:eastAsia="Times New Roman" w:hAnsi="Helvetica" w:cs="Times New Roman"/>
          <w:b/>
          <w:bCs/>
          <w:caps/>
          <w:color w:val="32363B"/>
          <w:sz w:val="17"/>
          <w:szCs w:val="17"/>
          <w:shd w:val="clear" w:color="auto" w:fill="EBEBEB"/>
        </w:rPr>
        <w:t>32</w:t>
      </w:r>
    </w:p>
    <w:p w14:paraId="4E79F98A" w14:textId="77777777" w:rsidR="00DD2EB3" w:rsidRPr="00DD2EB3" w:rsidRDefault="00DD2EB3" w:rsidP="00DD2EB3">
      <w:pPr>
        <w:shd w:val="clear" w:color="auto" w:fill="FCFCFC"/>
        <w:spacing w:before="360" w:after="150" w:line="480" w:lineRule="atLeast"/>
        <w:rPr>
          <w:rFonts w:ascii="PT Serif" w:eastAsia="Times New Roman" w:hAnsi="PT Serif" w:cs="Times New Roman"/>
          <w:color w:val="404040"/>
          <w:sz w:val="30"/>
          <w:szCs w:val="30"/>
        </w:rPr>
      </w:pPr>
      <w:r w:rsidRPr="00DD2EB3">
        <w:rPr>
          <w:rFonts w:ascii="PT Serif" w:eastAsia="Times New Roman" w:hAnsi="PT Serif" w:cs="Times New Roman"/>
          <w:b/>
          <w:bCs/>
          <w:color w:val="404040"/>
          <w:sz w:val="30"/>
          <w:szCs w:val="30"/>
        </w:rPr>
        <w:t>Parkway Corporation</w:t>
      </w:r>
      <w:r w:rsidRPr="00DD2EB3">
        <w:rPr>
          <w:rFonts w:ascii="PT Serif" w:eastAsia="Times New Roman" w:hAnsi="PT Serif" w:cs="Times New Roman"/>
          <w:color w:val="404040"/>
          <w:sz w:val="30"/>
          <w:szCs w:val="30"/>
        </w:rPr>
        <w:t> has landed $187 million in financing for the ground-up construction of </w:t>
      </w:r>
      <w:r w:rsidRPr="00DD2EB3">
        <w:rPr>
          <w:rFonts w:ascii="PT Serif" w:eastAsia="Times New Roman" w:hAnsi="PT Serif" w:cs="Times New Roman"/>
          <w:b/>
          <w:bCs/>
          <w:color w:val="404040"/>
          <w:sz w:val="30"/>
          <w:szCs w:val="30"/>
        </w:rPr>
        <w:t>2222 Market Street</w:t>
      </w:r>
      <w:r w:rsidRPr="00DD2EB3">
        <w:rPr>
          <w:rFonts w:ascii="PT Serif" w:eastAsia="Times New Roman" w:hAnsi="PT Serif" w:cs="Times New Roman"/>
          <w:color w:val="404040"/>
          <w:sz w:val="30"/>
          <w:szCs w:val="30"/>
        </w:rPr>
        <w:t> in Philadelphia, Commercial Observer has learned. </w:t>
      </w:r>
    </w:p>
    <w:p w14:paraId="63681E17" w14:textId="77777777" w:rsidR="00DD2EB3" w:rsidRPr="00DD2EB3" w:rsidRDefault="00DD2EB3" w:rsidP="00DD2EB3">
      <w:pPr>
        <w:shd w:val="clear" w:color="auto" w:fill="FCFCFC"/>
        <w:spacing w:before="360" w:after="150" w:line="480" w:lineRule="atLeast"/>
        <w:rPr>
          <w:rFonts w:ascii="PT Serif" w:eastAsia="Times New Roman" w:hAnsi="PT Serif" w:cs="Times New Roman"/>
          <w:color w:val="404040"/>
          <w:sz w:val="30"/>
          <w:szCs w:val="30"/>
        </w:rPr>
      </w:pPr>
      <w:r w:rsidRPr="00DD2EB3">
        <w:rPr>
          <w:rFonts w:ascii="PT Serif" w:eastAsia="Times New Roman" w:hAnsi="PT Serif" w:cs="Times New Roman"/>
          <w:color w:val="404040"/>
          <w:sz w:val="30"/>
          <w:szCs w:val="30"/>
        </w:rPr>
        <w:lastRenderedPageBreak/>
        <w:t>The financing of the Class-A property comprised a senior loan, mezzanine debt and preferred equity. Sources told CO that the senior loan was provided by a syndicate of lenders that was led by </w:t>
      </w:r>
      <w:r w:rsidRPr="00DD2EB3">
        <w:rPr>
          <w:rFonts w:ascii="PT Serif" w:eastAsia="Times New Roman" w:hAnsi="PT Serif" w:cs="Times New Roman"/>
          <w:b/>
          <w:bCs/>
          <w:color w:val="404040"/>
          <w:sz w:val="30"/>
          <w:szCs w:val="30"/>
        </w:rPr>
        <w:t>Citizens Bank </w:t>
      </w:r>
      <w:r w:rsidRPr="00DD2EB3">
        <w:rPr>
          <w:rFonts w:ascii="PT Serif" w:eastAsia="Times New Roman" w:hAnsi="PT Serif" w:cs="Times New Roman"/>
          <w:color w:val="404040"/>
          <w:sz w:val="30"/>
          <w:szCs w:val="30"/>
        </w:rPr>
        <w:t>and included </w:t>
      </w:r>
      <w:r w:rsidRPr="00DD2EB3">
        <w:rPr>
          <w:rFonts w:ascii="PT Serif" w:eastAsia="Times New Roman" w:hAnsi="PT Serif" w:cs="Times New Roman"/>
          <w:b/>
          <w:bCs/>
          <w:color w:val="404040"/>
          <w:sz w:val="30"/>
          <w:szCs w:val="30"/>
        </w:rPr>
        <w:t>Santander Bank</w:t>
      </w:r>
      <w:r w:rsidRPr="00DD2EB3">
        <w:rPr>
          <w:rFonts w:ascii="PT Serif" w:eastAsia="Times New Roman" w:hAnsi="PT Serif" w:cs="Times New Roman"/>
          <w:color w:val="404040"/>
          <w:sz w:val="30"/>
          <w:szCs w:val="30"/>
        </w:rPr>
        <w:t>, while </w:t>
      </w:r>
      <w:r w:rsidRPr="00DD2EB3">
        <w:rPr>
          <w:rFonts w:ascii="PT Serif" w:eastAsia="Times New Roman" w:hAnsi="PT Serif" w:cs="Times New Roman"/>
          <w:b/>
          <w:bCs/>
          <w:color w:val="404040"/>
          <w:sz w:val="30"/>
          <w:szCs w:val="30"/>
        </w:rPr>
        <w:t>ACORE Capital </w:t>
      </w:r>
      <w:r w:rsidRPr="00DD2EB3">
        <w:rPr>
          <w:rFonts w:ascii="PT Serif" w:eastAsia="Times New Roman" w:hAnsi="PT Serif" w:cs="Times New Roman"/>
          <w:color w:val="404040"/>
          <w:sz w:val="30"/>
          <w:szCs w:val="30"/>
        </w:rPr>
        <w:t xml:space="preserve">provided the mezzanine component and the </w:t>
      </w:r>
      <w:proofErr w:type="spellStart"/>
      <w:r w:rsidRPr="00DD2EB3">
        <w:rPr>
          <w:rFonts w:ascii="PT Serif" w:eastAsia="Times New Roman" w:hAnsi="PT Serif" w:cs="Times New Roman"/>
          <w:color w:val="404040"/>
          <w:sz w:val="30"/>
          <w:szCs w:val="30"/>
        </w:rPr>
        <w:t>pref</w:t>
      </w:r>
      <w:proofErr w:type="spellEnd"/>
      <w:r w:rsidRPr="00DD2EB3">
        <w:rPr>
          <w:rFonts w:ascii="PT Serif" w:eastAsia="Times New Roman" w:hAnsi="PT Serif" w:cs="Times New Roman"/>
          <w:color w:val="404040"/>
          <w:sz w:val="30"/>
          <w:szCs w:val="30"/>
        </w:rPr>
        <w:t xml:space="preserve"> equity. </w:t>
      </w:r>
    </w:p>
    <w:p w14:paraId="2C574BD2" w14:textId="77777777" w:rsidR="00DD2EB3" w:rsidRPr="00DD2EB3" w:rsidRDefault="00DD2EB3" w:rsidP="00DD2EB3">
      <w:pPr>
        <w:shd w:val="clear" w:color="auto" w:fill="FCFCFC"/>
        <w:spacing w:before="360" w:after="150" w:line="480" w:lineRule="atLeast"/>
        <w:rPr>
          <w:rFonts w:ascii="PT Serif" w:eastAsia="Times New Roman" w:hAnsi="PT Serif" w:cs="Times New Roman"/>
          <w:color w:val="404040"/>
          <w:sz w:val="30"/>
          <w:szCs w:val="30"/>
        </w:rPr>
      </w:pPr>
      <w:r w:rsidRPr="00DD2EB3">
        <w:rPr>
          <w:rFonts w:ascii="PT Serif" w:eastAsia="Times New Roman" w:hAnsi="PT Serif" w:cs="Times New Roman"/>
          <w:color w:val="404040"/>
          <w:sz w:val="30"/>
          <w:szCs w:val="30"/>
        </w:rPr>
        <w:t xml:space="preserve">Deal parties confirmed ACORE’s role but declined to comment on the senior syndicate. Officials at Citizens declined to </w:t>
      </w:r>
      <w:proofErr w:type="gramStart"/>
      <w:r w:rsidRPr="00DD2EB3">
        <w:rPr>
          <w:rFonts w:ascii="PT Serif" w:eastAsia="Times New Roman" w:hAnsi="PT Serif" w:cs="Times New Roman"/>
          <w:color w:val="404040"/>
          <w:sz w:val="30"/>
          <w:szCs w:val="30"/>
        </w:rPr>
        <w:t>comment</w:t>
      </w:r>
      <w:proofErr w:type="gramEnd"/>
      <w:r w:rsidRPr="00DD2EB3">
        <w:rPr>
          <w:rFonts w:ascii="PT Serif" w:eastAsia="Times New Roman" w:hAnsi="PT Serif" w:cs="Times New Roman"/>
          <w:color w:val="404040"/>
          <w:sz w:val="30"/>
          <w:szCs w:val="30"/>
        </w:rPr>
        <w:t xml:space="preserve"> and Santander representatives could not immediately be reached.</w:t>
      </w:r>
    </w:p>
    <w:p w14:paraId="2C048D9C" w14:textId="77777777" w:rsidR="00DD2EB3" w:rsidRPr="00DD2EB3" w:rsidRDefault="00DD2EB3" w:rsidP="00DD2EB3">
      <w:pPr>
        <w:shd w:val="clear" w:color="auto" w:fill="FCFCFC"/>
        <w:spacing w:before="360" w:after="150" w:line="480" w:lineRule="atLeast"/>
        <w:rPr>
          <w:rFonts w:ascii="PT Serif" w:eastAsia="Times New Roman" w:hAnsi="PT Serif" w:cs="Times New Roman"/>
          <w:color w:val="404040"/>
          <w:sz w:val="30"/>
          <w:szCs w:val="30"/>
        </w:rPr>
      </w:pPr>
      <w:r w:rsidRPr="00DD2EB3">
        <w:rPr>
          <w:rFonts w:ascii="PT Serif" w:eastAsia="Times New Roman" w:hAnsi="PT Serif" w:cs="Times New Roman"/>
          <w:b/>
          <w:bCs/>
          <w:color w:val="404040"/>
          <w:sz w:val="30"/>
          <w:szCs w:val="30"/>
        </w:rPr>
        <w:t>Meridian Capital Group</w:t>
      </w:r>
      <w:r w:rsidRPr="00DD2EB3">
        <w:rPr>
          <w:rFonts w:ascii="PT Serif" w:eastAsia="Times New Roman" w:hAnsi="PT Serif" w:cs="Times New Roman"/>
          <w:color w:val="404040"/>
          <w:sz w:val="30"/>
          <w:szCs w:val="30"/>
        </w:rPr>
        <w:t>’s </w:t>
      </w:r>
      <w:r w:rsidRPr="00DD2EB3">
        <w:rPr>
          <w:rFonts w:ascii="PT Serif" w:eastAsia="Times New Roman" w:hAnsi="PT Serif" w:cs="Times New Roman"/>
          <w:b/>
          <w:bCs/>
          <w:color w:val="404040"/>
          <w:sz w:val="30"/>
          <w:szCs w:val="30"/>
        </w:rPr>
        <w:t xml:space="preserve">Morris </w:t>
      </w:r>
      <w:proofErr w:type="spellStart"/>
      <w:r w:rsidRPr="00DD2EB3">
        <w:rPr>
          <w:rFonts w:ascii="PT Serif" w:eastAsia="Times New Roman" w:hAnsi="PT Serif" w:cs="Times New Roman"/>
          <w:b/>
          <w:bCs/>
          <w:color w:val="404040"/>
          <w:sz w:val="30"/>
          <w:szCs w:val="30"/>
        </w:rPr>
        <w:t>Betesh</w:t>
      </w:r>
      <w:proofErr w:type="spellEnd"/>
      <w:r w:rsidRPr="00DD2EB3">
        <w:rPr>
          <w:rFonts w:ascii="PT Serif" w:eastAsia="Times New Roman" w:hAnsi="PT Serif" w:cs="Times New Roman"/>
          <w:color w:val="404040"/>
          <w:sz w:val="30"/>
          <w:szCs w:val="30"/>
        </w:rPr>
        <w:t>,</w:t>
      </w:r>
      <w:r w:rsidRPr="00DD2EB3">
        <w:rPr>
          <w:rFonts w:ascii="PT Serif" w:eastAsia="Times New Roman" w:hAnsi="PT Serif" w:cs="Times New Roman"/>
          <w:b/>
          <w:bCs/>
          <w:color w:val="404040"/>
          <w:sz w:val="30"/>
          <w:szCs w:val="30"/>
        </w:rPr>
        <w:t> Ronnie Levine</w:t>
      </w:r>
      <w:r w:rsidRPr="00DD2EB3">
        <w:rPr>
          <w:rFonts w:ascii="PT Serif" w:eastAsia="Times New Roman" w:hAnsi="PT Serif" w:cs="Times New Roman"/>
          <w:color w:val="404040"/>
          <w:sz w:val="30"/>
          <w:szCs w:val="30"/>
        </w:rPr>
        <w:t>, </w:t>
      </w:r>
      <w:r w:rsidRPr="00DD2EB3">
        <w:rPr>
          <w:rFonts w:ascii="PT Serif" w:eastAsia="Times New Roman" w:hAnsi="PT Serif" w:cs="Times New Roman"/>
          <w:b/>
          <w:bCs/>
          <w:color w:val="404040"/>
          <w:sz w:val="30"/>
          <w:szCs w:val="30"/>
        </w:rPr>
        <w:t>Phil Galligan</w:t>
      </w:r>
      <w:r w:rsidRPr="00DD2EB3">
        <w:rPr>
          <w:rFonts w:ascii="PT Serif" w:eastAsia="Times New Roman" w:hAnsi="PT Serif" w:cs="Times New Roman"/>
          <w:color w:val="404040"/>
          <w:sz w:val="30"/>
          <w:szCs w:val="30"/>
        </w:rPr>
        <w:t>, </w:t>
      </w:r>
      <w:r w:rsidRPr="00DD2EB3">
        <w:rPr>
          <w:rFonts w:ascii="PT Serif" w:eastAsia="Times New Roman" w:hAnsi="PT Serif" w:cs="Times New Roman"/>
          <w:b/>
          <w:bCs/>
          <w:color w:val="404040"/>
          <w:sz w:val="30"/>
          <w:szCs w:val="30"/>
        </w:rPr>
        <w:t xml:space="preserve">Thomas </w:t>
      </w:r>
      <w:proofErr w:type="spellStart"/>
      <w:r w:rsidRPr="00DD2EB3">
        <w:rPr>
          <w:rFonts w:ascii="PT Serif" w:eastAsia="Times New Roman" w:hAnsi="PT Serif" w:cs="Times New Roman"/>
          <w:b/>
          <w:bCs/>
          <w:color w:val="404040"/>
          <w:sz w:val="30"/>
          <w:szCs w:val="30"/>
        </w:rPr>
        <w:t>Wayda</w:t>
      </w:r>
      <w:proofErr w:type="spellEnd"/>
      <w:r w:rsidRPr="00DD2EB3">
        <w:rPr>
          <w:rFonts w:ascii="PT Serif" w:eastAsia="Times New Roman" w:hAnsi="PT Serif" w:cs="Times New Roman"/>
          <w:color w:val="404040"/>
          <w:sz w:val="30"/>
          <w:szCs w:val="30"/>
        </w:rPr>
        <w:t> and </w:t>
      </w:r>
      <w:r w:rsidRPr="00DD2EB3">
        <w:rPr>
          <w:rFonts w:ascii="PT Serif" w:eastAsia="Times New Roman" w:hAnsi="PT Serif" w:cs="Times New Roman"/>
          <w:b/>
          <w:bCs/>
          <w:color w:val="404040"/>
          <w:sz w:val="30"/>
          <w:szCs w:val="30"/>
        </w:rPr>
        <w:t>Omar Ferreira</w:t>
      </w:r>
      <w:r w:rsidRPr="00DD2EB3">
        <w:rPr>
          <w:rFonts w:ascii="PT Serif" w:eastAsia="Times New Roman" w:hAnsi="PT Serif" w:cs="Times New Roman"/>
          <w:color w:val="404040"/>
          <w:sz w:val="30"/>
          <w:szCs w:val="30"/>
        </w:rPr>
        <w:t> negotiated the financing. </w:t>
      </w:r>
    </w:p>
    <w:p w14:paraId="45B956BD" w14:textId="77777777" w:rsidR="00DD2EB3" w:rsidRPr="00DD2EB3" w:rsidRDefault="00DD2EB3" w:rsidP="00DD2EB3">
      <w:pPr>
        <w:shd w:val="clear" w:color="auto" w:fill="FCFCFC"/>
        <w:spacing w:before="360" w:after="150" w:line="480" w:lineRule="atLeast"/>
        <w:rPr>
          <w:rFonts w:ascii="PT Serif" w:eastAsia="Times New Roman" w:hAnsi="PT Serif" w:cs="Times New Roman"/>
          <w:color w:val="404040"/>
          <w:sz w:val="30"/>
          <w:szCs w:val="30"/>
        </w:rPr>
      </w:pPr>
      <w:r w:rsidRPr="00DD2EB3">
        <w:rPr>
          <w:rFonts w:ascii="PT Serif" w:eastAsia="Times New Roman" w:hAnsi="PT Serif" w:cs="Times New Roman"/>
          <w:color w:val="404040"/>
          <w:sz w:val="30"/>
          <w:szCs w:val="30"/>
        </w:rPr>
        <w:t>Located in Philly’s Center City neighborhood, the 19-story, built-to-suit trophy office comprises 305,000 square feet and is pre-leased to law firm </w:t>
      </w:r>
      <w:r w:rsidRPr="00DD2EB3">
        <w:rPr>
          <w:rFonts w:ascii="PT Serif" w:eastAsia="Times New Roman" w:hAnsi="PT Serif" w:cs="Times New Roman"/>
          <w:b/>
          <w:bCs/>
          <w:color w:val="404040"/>
          <w:sz w:val="30"/>
          <w:szCs w:val="30"/>
        </w:rPr>
        <w:t>Morgan, Lewis and Bockius</w:t>
      </w:r>
      <w:r w:rsidRPr="00DD2EB3">
        <w:rPr>
          <w:rFonts w:ascii="PT Serif" w:eastAsia="Times New Roman" w:hAnsi="PT Serif" w:cs="Times New Roman"/>
          <w:color w:val="404040"/>
          <w:sz w:val="30"/>
          <w:szCs w:val="30"/>
        </w:rPr>
        <w:t>. When completed, its amenities will include a 3,500-square-foot fitness center, a rooftop terrace and a 50-space below-grade parking garage. </w:t>
      </w:r>
    </w:p>
    <w:p w14:paraId="72416BEC" w14:textId="77777777" w:rsidR="00DD2EB3" w:rsidRPr="00DD2EB3" w:rsidRDefault="00DD2EB3" w:rsidP="00DD2EB3">
      <w:pPr>
        <w:shd w:val="clear" w:color="auto" w:fill="FCFCFC"/>
        <w:spacing w:before="360" w:after="150" w:line="480" w:lineRule="atLeast"/>
        <w:rPr>
          <w:rFonts w:ascii="PT Serif" w:eastAsia="Times New Roman" w:hAnsi="PT Serif" w:cs="Times New Roman"/>
          <w:color w:val="404040"/>
          <w:sz w:val="30"/>
          <w:szCs w:val="30"/>
        </w:rPr>
      </w:pPr>
      <w:r w:rsidRPr="00DD2EB3">
        <w:rPr>
          <w:rFonts w:ascii="PT Serif" w:eastAsia="Times New Roman" w:hAnsi="PT Serif" w:cs="Times New Roman"/>
          <w:color w:val="404040"/>
          <w:sz w:val="30"/>
          <w:szCs w:val="30"/>
        </w:rPr>
        <w:t>“This is going to be a tremendous project, and an important addition to a dynamic and vibrant Center City Philadelphia. We are thrilled to be a part of the deal, and more importantly, a part of the team, from Parkway Corporation and Morgan Lewis to Meridian Capital and our lending partners,” </w:t>
      </w:r>
      <w:r w:rsidRPr="00DD2EB3">
        <w:rPr>
          <w:rFonts w:ascii="PT Serif" w:eastAsia="Times New Roman" w:hAnsi="PT Serif" w:cs="Times New Roman"/>
          <w:b/>
          <w:bCs/>
          <w:color w:val="404040"/>
          <w:sz w:val="30"/>
          <w:szCs w:val="30"/>
        </w:rPr>
        <w:t>Tony Fineman</w:t>
      </w:r>
      <w:r w:rsidRPr="00DD2EB3">
        <w:rPr>
          <w:rFonts w:ascii="PT Serif" w:eastAsia="Times New Roman" w:hAnsi="PT Serif" w:cs="Times New Roman"/>
          <w:color w:val="404040"/>
          <w:sz w:val="30"/>
          <w:szCs w:val="30"/>
        </w:rPr>
        <w:t xml:space="preserve">, Head of Eastern Region Originations at ACORE, told CO. “This transaction is extra special to me, having grown up in Philadelphia. I attended college a few blocks </w:t>
      </w:r>
      <w:r w:rsidRPr="00DD2EB3">
        <w:rPr>
          <w:rFonts w:ascii="PT Serif" w:eastAsia="Times New Roman" w:hAnsi="PT Serif" w:cs="Times New Roman"/>
          <w:color w:val="404040"/>
          <w:sz w:val="30"/>
          <w:szCs w:val="30"/>
        </w:rPr>
        <w:lastRenderedPageBreak/>
        <w:t xml:space="preserve">away. We look forward to watching the progress of the development and seeing its inevitable </w:t>
      </w:r>
      <w:proofErr w:type="gramStart"/>
      <w:r w:rsidRPr="00DD2EB3">
        <w:rPr>
          <w:rFonts w:ascii="PT Serif" w:eastAsia="Times New Roman" w:hAnsi="PT Serif" w:cs="Times New Roman"/>
          <w:color w:val="404040"/>
          <w:sz w:val="30"/>
          <w:szCs w:val="30"/>
        </w:rPr>
        <w:t>success.“</w:t>
      </w:r>
      <w:proofErr w:type="gramEnd"/>
    </w:p>
    <w:p w14:paraId="52D61FB7" w14:textId="77777777" w:rsidR="00DD2EB3" w:rsidRPr="00DD2EB3" w:rsidRDefault="00DD2EB3" w:rsidP="00DD2EB3">
      <w:pPr>
        <w:shd w:val="clear" w:color="auto" w:fill="FCFCFC"/>
        <w:spacing w:before="360" w:after="150" w:line="480" w:lineRule="atLeast"/>
        <w:rPr>
          <w:rFonts w:ascii="PT Serif" w:eastAsia="Times New Roman" w:hAnsi="PT Serif" w:cs="Times New Roman"/>
          <w:color w:val="404040"/>
          <w:sz w:val="30"/>
          <w:szCs w:val="30"/>
        </w:rPr>
      </w:pPr>
      <w:r w:rsidRPr="00DD2EB3">
        <w:rPr>
          <w:rFonts w:ascii="PT Serif" w:eastAsia="Times New Roman" w:hAnsi="PT Serif" w:cs="Times New Roman"/>
          <w:color w:val="404040"/>
          <w:sz w:val="30"/>
          <w:szCs w:val="30"/>
        </w:rPr>
        <w:t>Sitting close to City Hall and also the new </w:t>
      </w:r>
      <w:r w:rsidRPr="00DD2EB3">
        <w:rPr>
          <w:rFonts w:ascii="PT Serif" w:eastAsia="Times New Roman" w:hAnsi="PT Serif" w:cs="Times New Roman"/>
          <w:b/>
          <w:bCs/>
          <w:color w:val="404040"/>
          <w:sz w:val="30"/>
          <w:szCs w:val="30"/>
        </w:rPr>
        <w:t>Comcast </w:t>
      </w:r>
      <w:r w:rsidRPr="00DD2EB3">
        <w:rPr>
          <w:rFonts w:ascii="PT Serif" w:eastAsia="Times New Roman" w:hAnsi="PT Serif" w:cs="Times New Roman"/>
          <w:color w:val="404040"/>
          <w:sz w:val="30"/>
          <w:szCs w:val="30"/>
        </w:rPr>
        <w:t>headquarters, the </w:t>
      </w:r>
      <w:r w:rsidRPr="00DD2EB3">
        <w:rPr>
          <w:rFonts w:ascii="PT Serif" w:eastAsia="Times New Roman" w:hAnsi="PT Serif" w:cs="Times New Roman"/>
          <w:b/>
          <w:bCs/>
          <w:color w:val="404040"/>
          <w:sz w:val="30"/>
          <w:szCs w:val="30"/>
        </w:rPr>
        <w:t>Gensler</w:t>
      </w:r>
      <w:r w:rsidRPr="00DD2EB3">
        <w:rPr>
          <w:rFonts w:ascii="PT Serif" w:eastAsia="Times New Roman" w:hAnsi="PT Serif" w:cs="Times New Roman"/>
          <w:color w:val="404040"/>
          <w:sz w:val="30"/>
          <w:szCs w:val="30"/>
        </w:rPr>
        <w:t>-designed office property will be the first non-Comcast commercial office building in the city’s central business district in over 30 years. </w:t>
      </w:r>
    </w:p>
    <w:p w14:paraId="7B8B875E" w14:textId="77777777" w:rsidR="00DD2EB3" w:rsidRPr="00DD2EB3" w:rsidRDefault="00DD2EB3" w:rsidP="00DD2EB3">
      <w:pPr>
        <w:shd w:val="clear" w:color="auto" w:fill="FCFCFC"/>
        <w:spacing w:before="360" w:after="150" w:line="480" w:lineRule="atLeast"/>
        <w:rPr>
          <w:rFonts w:ascii="PT Serif" w:eastAsia="Times New Roman" w:hAnsi="PT Serif" w:cs="Times New Roman"/>
          <w:color w:val="404040"/>
          <w:sz w:val="30"/>
          <w:szCs w:val="30"/>
        </w:rPr>
      </w:pPr>
      <w:r w:rsidRPr="00DD2EB3">
        <w:rPr>
          <w:rFonts w:ascii="PT Serif" w:eastAsia="Times New Roman" w:hAnsi="PT Serif" w:cs="Times New Roman"/>
          <w:color w:val="404040"/>
          <w:sz w:val="30"/>
          <w:szCs w:val="30"/>
        </w:rPr>
        <w:t xml:space="preserve">“It was an honor to be a part of such a landmark transaction in the city of Philadelphia. The financing featured a multiple bank syndicate, arranged by Meridian, as well as mezzanine debt and a preferred equity component,” </w:t>
      </w:r>
      <w:proofErr w:type="spellStart"/>
      <w:r w:rsidRPr="00DD2EB3">
        <w:rPr>
          <w:rFonts w:ascii="PT Serif" w:eastAsia="Times New Roman" w:hAnsi="PT Serif" w:cs="Times New Roman"/>
          <w:color w:val="404040"/>
          <w:sz w:val="30"/>
          <w:szCs w:val="30"/>
        </w:rPr>
        <w:t>Betesh</w:t>
      </w:r>
      <w:proofErr w:type="spellEnd"/>
      <w:r w:rsidRPr="00DD2EB3">
        <w:rPr>
          <w:rFonts w:ascii="PT Serif" w:eastAsia="Times New Roman" w:hAnsi="PT Serif" w:cs="Times New Roman"/>
          <w:color w:val="404040"/>
          <w:sz w:val="30"/>
          <w:szCs w:val="30"/>
        </w:rPr>
        <w:t xml:space="preserve"> said. “Needless to say, we had to thread a needle throughout the COVID crisis, however our lenders and capital partners stood by us the whole way, which is a testament to the quality of this project. With this closing, Parkway continues to cement itself as one of the preeminent developers continuing to transform the city of Philadelphia.”</w:t>
      </w:r>
    </w:p>
    <w:p w14:paraId="40195932" w14:textId="77777777" w:rsidR="001B4F29" w:rsidRDefault="001B4F29"/>
    <w:sectPr w:rsidR="001B4F29" w:rsidSect="008E38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venir Next">
    <w:panose1 w:val="020B0503020202020204"/>
    <w:charset w:val="00"/>
    <w:family w:val="swiss"/>
    <w:pitch w:val="variable"/>
    <w:sig w:usb0="8000002F" w:usb1="5000204A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panose1 w:val="02020603050405020304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PT Sans Narrow">
    <w:panose1 w:val="020B0506020203020204"/>
    <w:charset w:val="4D"/>
    <w:family w:val="swiss"/>
    <w:pitch w:val="variable"/>
    <w:sig w:usb0="A00002EF" w:usb1="5000204B" w:usb2="00000000" w:usb3="00000000" w:csb0="00000097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PT Serif">
    <w:panose1 w:val="020A0603040505020204"/>
    <w:charset w:val="4D"/>
    <w:family w:val="roman"/>
    <w:pitch w:val="variable"/>
    <w:sig w:usb0="A00002EF" w:usb1="5000204B" w:usb2="00000000" w:usb3="00000000" w:csb0="000000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EB3"/>
    <w:rsid w:val="001B4F29"/>
    <w:rsid w:val="0085667B"/>
    <w:rsid w:val="008E3809"/>
    <w:rsid w:val="00A635BB"/>
    <w:rsid w:val="00DD2EB3"/>
    <w:rsid w:val="00F23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EEA798"/>
  <w15:chartTrackingRefBased/>
  <w15:docId w15:val="{900CF72D-7E0D-9045-9A3A-A0ABD5AF8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venir Next" w:eastAsiaTheme="minorHAnsi" w:hAnsi="Avenir Next" w:cs="Times New Roman (Body CS)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D2EB3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DD2EB3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6">
    <w:name w:val="heading 6"/>
    <w:basedOn w:val="Normal"/>
    <w:link w:val="Heading6Char"/>
    <w:uiPriority w:val="9"/>
    <w:qFormat/>
    <w:rsid w:val="00DD2EB3"/>
    <w:pPr>
      <w:spacing w:before="100" w:beforeAutospacing="1" w:after="100" w:afterAutospacing="1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2EB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DD2EB3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6Char">
    <w:name w:val="Heading 6 Char"/>
    <w:basedOn w:val="DefaultParagraphFont"/>
    <w:link w:val="Heading6"/>
    <w:uiPriority w:val="9"/>
    <w:rsid w:val="00DD2EB3"/>
    <w:rPr>
      <w:rFonts w:ascii="Times New Roman" w:eastAsia="Times New Roman" w:hAnsi="Times New Roman" w:cs="Times New Roman"/>
      <w:b/>
      <w:bCs/>
      <w:sz w:val="15"/>
      <w:szCs w:val="15"/>
    </w:rPr>
  </w:style>
  <w:style w:type="character" w:styleId="Hyperlink">
    <w:name w:val="Hyperlink"/>
    <w:basedOn w:val="DefaultParagraphFont"/>
    <w:uiPriority w:val="99"/>
    <w:semiHidden/>
    <w:unhideWhenUsed/>
    <w:rsid w:val="00DD2EB3"/>
    <w:rPr>
      <w:color w:val="0000FF"/>
      <w:u w:val="single"/>
    </w:rPr>
  </w:style>
  <w:style w:type="character" w:customStyle="1" w:styleId="date">
    <w:name w:val="date"/>
    <w:basedOn w:val="DefaultParagraphFont"/>
    <w:rsid w:val="00DD2EB3"/>
  </w:style>
  <w:style w:type="character" w:customStyle="1" w:styleId="atflatcounter">
    <w:name w:val="at_flat_counter"/>
    <w:basedOn w:val="DefaultParagraphFont"/>
    <w:rsid w:val="00DD2EB3"/>
  </w:style>
  <w:style w:type="paragraph" w:styleId="NormalWeb">
    <w:name w:val="Normal (Web)"/>
    <w:basedOn w:val="Normal"/>
    <w:uiPriority w:val="99"/>
    <w:semiHidden/>
    <w:unhideWhenUsed/>
    <w:rsid w:val="00DD2EB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DD2EB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518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9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97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68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421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91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5228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553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927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826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307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264761">
                  <w:marLeft w:val="0"/>
                  <w:marRight w:val="0"/>
                  <w:marTop w:val="450"/>
                  <w:marBottom w:val="450"/>
                  <w:divBdr>
                    <w:top w:val="single" w:sz="6" w:space="11" w:color="000000"/>
                    <w:left w:val="none" w:sz="0" w:space="0" w:color="auto"/>
                    <w:bottom w:val="single" w:sz="6" w:space="11" w:color="000000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commercialobserver.com/author/cathy-cunningha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434</Words>
  <Characters>2479</Characters>
  <Application>Microsoft Office Word</Application>
  <DocSecurity>0</DocSecurity>
  <Lines>20</Lines>
  <Paragraphs>5</Paragraphs>
  <ScaleCrop>false</ScaleCrop>
  <Company/>
  <LinksUpToDate>false</LinksUpToDate>
  <CharactersWithSpaces>2908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Lana Foster</dc:creator>
  <cp:keywords/>
  <dc:description/>
  <cp:lastModifiedBy>Lana Foster</cp:lastModifiedBy>
  <cp:revision>2</cp:revision>
  <dcterms:created xsi:type="dcterms:W3CDTF">2020-08-12T19:26:00Z</dcterms:created>
  <dcterms:modified xsi:type="dcterms:W3CDTF">2020-08-12T20:02:00Z</dcterms:modified>
</cp:coreProperties>
</file>